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A06E1" w14:textId="4A7B3437" w:rsidR="0057296F" w:rsidRPr="003A36B3" w:rsidRDefault="00FE3416" w:rsidP="003A36B3">
      <w:pPr>
        <w:pStyle w:val="Title"/>
        <w:rPr>
          <w:lang w:val="en-US"/>
        </w:rPr>
      </w:pPr>
      <w:r w:rsidRPr="003A36B3">
        <w:rPr>
          <w:lang w:val="en-US"/>
        </w:rPr>
        <w:t xml:space="preserve">List of presentations at PPAM – AGCA 2026 </w:t>
      </w:r>
    </w:p>
    <w:p w14:paraId="50FA8677" w14:textId="77777777" w:rsidR="00FE3416" w:rsidRDefault="00FE3416">
      <w:pPr>
        <w:rPr>
          <w:lang w:val="en-US"/>
        </w:rPr>
      </w:pPr>
    </w:p>
    <w:p w14:paraId="21A03723" w14:textId="2DC1C4AD" w:rsidR="00FE3416" w:rsidRPr="00FE3416" w:rsidRDefault="00FE3416">
      <w:pPr>
        <w:rPr>
          <w:b/>
          <w:bCs/>
          <w:sz w:val="32"/>
          <w:szCs w:val="28"/>
          <w:lang w:val="en-US"/>
        </w:rPr>
      </w:pPr>
      <w:r w:rsidRPr="00FE3416">
        <w:rPr>
          <w:b/>
          <w:bCs/>
          <w:sz w:val="32"/>
          <w:szCs w:val="28"/>
          <w:lang w:val="en-US"/>
        </w:rPr>
        <w:t xml:space="preserve">Plenary session </w:t>
      </w:r>
    </w:p>
    <w:p w14:paraId="2B1734FF" w14:textId="77777777" w:rsidR="00FE3416" w:rsidRDefault="00FE3416">
      <w:pPr>
        <w:rPr>
          <w:lang w:val="en-US"/>
        </w:rPr>
      </w:pPr>
    </w:p>
    <w:p w14:paraId="2EF81D94" w14:textId="082C6B26" w:rsidR="00FE3416" w:rsidRDefault="00FE3416">
      <w:pPr>
        <w:rPr>
          <w:lang w:val="en-US"/>
        </w:rPr>
      </w:pPr>
      <w:r w:rsidRPr="00FE3416">
        <w:rPr>
          <w:b/>
          <w:bCs/>
          <w:lang w:val="en-US"/>
        </w:rPr>
        <w:t>161</w:t>
      </w:r>
      <w:r w:rsidRPr="00FE3416">
        <w:rPr>
          <w:lang w:val="en-US"/>
        </w:rPr>
        <w:tab/>
        <w:t xml:space="preserve">Marcin Lawenda, Łukasz </w:t>
      </w:r>
      <w:proofErr w:type="spellStart"/>
      <w:r w:rsidRPr="00FE3416">
        <w:rPr>
          <w:lang w:val="en-US"/>
        </w:rPr>
        <w:t>Szustak</w:t>
      </w:r>
      <w:proofErr w:type="spellEnd"/>
      <w:r w:rsidRPr="00FE3416">
        <w:rPr>
          <w:lang w:val="en-US"/>
        </w:rPr>
        <w:t xml:space="preserve"> and Aleksandra </w:t>
      </w:r>
      <w:proofErr w:type="spellStart"/>
      <w:r w:rsidRPr="00FE3416">
        <w:rPr>
          <w:lang w:val="en-US"/>
        </w:rPr>
        <w:t>Krasicka</w:t>
      </w:r>
      <w:proofErr w:type="spellEnd"/>
      <w:r w:rsidRPr="00FE3416">
        <w:rPr>
          <w:lang w:val="en-US"/>
        </w:rPr>
        <w:tab/>
      </w:r>
    </w:p>
    <w:p w14:paraId="5380BBBF" w14:textId="22A3FCF8" w:rsidR="00FE3416" w:rsidRDefault="00FE3416">
      <w:pPr>
        <w:rPr>
          <w:lang w:val="en-US"/>
        </w:rPr>
      </w:pPr>
      <w:r>
        <w:rPr>
          <w:lang w:val="en-US"/>
        </w:rPr>
        <w:t>“</w:t>
      </w:r>
      <w:r w:rsidRPr="00FE3416">
        <w:rPr>
          <w:i/>
          <w:iCs/>
          <w:lang w:val="en-US"/>
        </w:rPr>
        <w:t>Data-driven prediction of optimal MPI rank placement and node count for memory-bound CFD on AMD EPYC clusters</w:t>
      </w:r>
      <w:r>
        <w:rPr>
          <w:lang w:val="en-US"/>
        </w:rPr>
        <w:t>”</w:t>
      </w:r>
    </w:p>
    <w:p w14:paraId="2B0BF4FC" w14:textId="3EAAA21B" w:rsidR="00FE3416" w:rsidRPr="00FE3416" w:rsidRDefault="00FE3416">
      <w:pPr>
        <w:rPr>
          <w:b/>
          <w:bCs/>
          <w:lang w:val="en-US"/>
        </w:rPr>
      </w:pPr>
      <w:r w:rsidRPr="00FE3416">
        <w:rPr>
          <w:b/>
          <w:bCs/>
          <w:lang w:val="en-US"/>
        </w:rPr>
        <w:t xml:space="preserve">Abstract: </w:t>
      </w:r>
    </w:p>
    <w:p w14:paraId="7B78B064" w14:textId="494C64C0" w:rsidR="00FE3416" w:rsidRDefault="00FE3416" w:rsidP="00FE3416">
      <w:pPr>
        <w:rPr>
          <w:lang w:val="en-US"/>
        </w:rPr>
      </w:pPr>
      <w:r w:rsidRPr="00FE3416">
        <w:rPr>
          <w:lang w:val="en-US"/>
        </w:rPr>
        <w:t xml:space="preserve">Sustainable operation of HPC clusters requires a priori prediction of both the execution time and the energy consumption of scientific workloads, yet existing performance models for CFD applications are typically confined either to a single processor generation or to empirical metrics that cannot extrapolate to unmeasured hardware configurations. Our prior work addressed these two limitations separately: an analytical performance–energy model anchored on the CVOPTS metric for the AMD EPYC Milan generation, and a cross-architecture study using the FVOPS metric that compared six EPYC generations (Rome through Bergamo) on </w:t>
      </w:r>
      <w:proofErr w:type="spellStart"/>
      <w:r w:rsidRPr="00FE3416">
        <w:rPr>
          <w:lang w:val="en-US"/>
        </w:rPr>
        <w:t>OpenFOAM</w:t>
      </w:r>
      <w:proofErr w:type="spellEnd"/>
      <w:r w:rsidRPr="00FE3416">
        <w:rPr>
          <w:lang w:val="en-US"/>
        </w:rPr>
        <w:t xml:space="preserve"> benchmarks supported by AMD µProf and LIKWID profiling. In this paper we unify and extend these two threads with an explainable machine-learning surrogate that jointly predicts execution time and aggregate node power for </w:t>
      </w:r>
      <w:proofErr w:type="spellStart"/>
      <w:r w:rsidRPr="00FE3416">
        <w:rPr>
          <w:lang w:val="en-US"/>
        </w:rPr>
        <w:t>OpenFOAM</w:t>
      </w:r>
      <w:proofErr w:type="spellEnd"/>
      <w:r w:rsidRPr="00FE3416">
        <w:rPr>
          <w:lang w:val="en-US"/>
        </w:rPr>
        <w:t xml:space="preserve"> CFD workloads across the full Zen 2 – Zen 5 EPYC line, including the recent Turin and Turin-dense processors that were not covered in our previous studies. Six regression families (linear regression, decision tree, random forest, support-vector regression, multilayer perceptron and gradient-boosted trees) are evaluated on empirical measurements of the </w:t>
      </w:r>
      <w:proofErr w:type="spellStart"/>
      <w:r w:rsidRPr="00FE3416">
        <w:rPr>
          <w:lang w:val="en-US"/>
        </w:rPr>
        <w:t>MotorBike</w:t>
      </w:r>
      <w:proofErr w:type="spellEnd"/>
      <w:r w:rsidRPr="00FE3416">
        <w:rPr>
          <w:lang w:val="en-US"/>
        </w:rPr>
        <w:t xml:space="preserve"> case, spanning multiple architectures, MPI-rank placements (varying MPI-ranks-per-CCX/CCD and NPS configurations), node counts, and grid sizes. A per-scale evaluation shows that the dominant error regime and the most informative architectural descriptors shift with cluster size, while SHAP-based attribution identifies cache-hierarchy and memory-bandwidth features as the leading drivers of both targets, consistent with the profiling evidence of our previous cross-architecture study. A rule-driven synthetic configuration generator then leverages the trained surrogate to extrapolate runtime and power estimates for unmeasured EPYC configurations, reproduces the </w:t>
      </w:r>
      <w:proofErr w:type="spellStart"/>
      <w:r w:rsidRPr="00FE3416">
        <w:rPr>
          <w:lang w:val="en-US"/>
        </w:rPr>
        <w:t>superspeedup</w:t>
      </w:r>
      <w:proofErr w:type="spellEnd"/>
      <w:r w:rsidRPr="00FE3416">
        <w:rPr>
          <w:lang w:val="en-US"/>
        </w:rPr>
        <w:t xml:space="preserve"> phenomenon previously observed for Milan, and extends the performance–energy trade-off prediction to Zen 5 hardware. The resulting framework subsumes both prior contributions in a single interpretable model that supports a priori "what-if" exploration of EPYC procurement decisions for memory-bound CFD applications.</w:t>
      </w:r>
    </w:p>
    <w:p w14:paraId="7D2E868C" w14:textId="77777777" w:rsidR="003A36B3" w:rsidRDefault="003A36B3">
      <w:pPr>
        <w:spacing w:before="0" w:after="160" w:line="259" w:lineRule="auto"/>
        <w:jc w:val="left"/>
        <w:rPr>
          <w:b/>
          <w:bCs/>
          <w:sz w:val="32"/>
          <w:szCs w:val="28"/>
          <w:lang w:val="en-US"/>
        </w:rPr>
      </w:pPr>
      <w:r>
        <w:rPr>
          <w:b/>
          <w:bCs/>
          <w:sz w:val="32"/>
          <w:szCs w:val="28"/>
          <w:lang w:val="en-US"/>
        </w:rPr>
        <w:br w:type="page"/>
      </w:r>
    </w:p>
    <w:p w14:paraId="76073EEE" w14:textId="4BA467CA" w:rsidR="00FE3416" w:rsidRDefault="00FE3416" w:rsidP="00FE3416">
      <w:pPr>
        <w:rPr>
          <w:b/>
          <w:bCs/>
          <w:sz w:val="32"/>
          <w:szCs w:val="28"/>
          <w:lang w:val="en-US"/>
        </w:rPr>
      </w:pPr>
      <w:r w:rsidRPr="00FE3416">
        <w:rPr>
          <w:b/>
          <w:bCs/>
          <w:sz w:val="32"/>
          <w:szCs w:val="28"/>
          <w:lang w:val="en-US"/>
        </w:rPr>
        <w:lastRenderedPageBreak/>
        <w:t>AGCA workshop</w:t>
      </w:r>
    </w:p>
    <w:p w14:paraId="1D77E410" w14:textId="77777777" w:rsidR="003A36B3" w:rsidRPr="00FE3416" w:rsidRDefault="003A36B3" w:rsidP="00FE3416">
      <w:pPr>
        <w:rPr>
          <w:b/>
          <w:bCs/>
          <w:sz w:val="32"/>
          <w:szCs w:val="28"/>
          <w:lang w:val="en-US"/>
        </w:rPr>
      </w:pPr>
    </w:p>
    <w:p w14:paraId="6CA7A799" w14:textId="77777777" w:rsidR="00FE3416" w:rsidRDefault="00FE3416" w:rsidP="00FE3416">
      <w:pPr>
        <w:rPr>
          <w:lang w:val="en-US"/>
        </w:rPr>
      </w:pPr>
      <w:r w:rsidRPr="003A36B3">
        <w:rPr>
          <w:b/>
          <w:bCs/>
          <w:lang w:val="en-US"/>
        </w:rPr>
        <w:t>146</w:t>
      </w:r>
      <w:r w:rsidRPr="00FE3416">
        <w:rPr>
          <w:lang w:val="en-US"/>
        </w:rPr>
        <w:tab/>
        <w:t xml:space="preserve">David Caballero, Luis Torres and </w:t>
      </w:r>
      <w:proofErr w:type="spellStart"/>
      <w:r w:rsidRPr="00FE3416">
        <w:rPr>
          <w:lang w:val="en-US"/>
        </w:rPr>
        <w:t>Ángela</w:t>
      </w:r>
      <w:proofErr w:type="spellEnd"/>
      <w:r w:rsidRPr="00FE3416">
        <w:rPr>
          <w:lang w:val="en-US"/>
        </w:rPr>
        <w:t xml:space="preserve"> Rivera</w:t>
      </w:r>
      <w:r w:rsidRPr="00FE3416">
        <w:rPr>
          <w:lang w:val="en-US"/>
        </w:rPr>
        <w:tab/>
      </w:r>
    </w:p>
    <w:p w14:paraId="5C0043C2" w14:textId="0C45CBC9" w:rsidR="00FE3416" w:rsidRPr="00FE3416" w:rsidRDefault="00FE3416" w:rsidP="00FE3416">
      <w:pPr>
        <w:rPr>
          <w:lang w:val="en-US"/>
        </w:rPr>
      </w:pPr>
      <w:r>
        <w:rPr>
          <w:lang w:val="en-US"/>
        </w:rPr>
        <w:t>“</w:t>
      </w:r>
      <w:r w:rsidRPr="00FE3416">
        <w:rPr>
          <w:i/>
          <w:iCs/>
          <w:lang w:val="en-US"/>
        </w:rPr>
        <w:t xml:space="preserve">WUI Fire Simulation with FDS/WFDS on </w:t>
      </w:r>
      <w:proofErr w:type="spellStart"/>
      <w:r w:rsidRPr="00FE3416">
        <w:rPr>
          <w:i/>
          <w:iCs/>
          <w:lang w:val="en-US"/>
        </w:rPr>
        <w:t>EuroHPC</w:t>
      </w:r>
      <w:proofErr w:type="spellEnd"/>
      <w:r w:rsidRPr="00FE3416">
        <w:rPr>
          <w:i/>
          <w:iCs/>
          <w:lang w:val="en-US"/>
        </w:rPr>
        <w:t xml:space="preserve"> Supercomputers: Scalability, Physical Constraints and an End-to-End Visualization Pipeline</w:t>
      </w:r>
      <w:r>
        <w:rPr>
          <w:lang w:val="en-US"/>
        </w:rPr>
        <w:t>”</w:t>
      </w:r>
    </w:p>
    <w:p w14:paraId="3E3A8D15" w14:textId="1736EBE9" w:rsidR="00FE3416" w:rsidRDefault="00FE3416" w:rsidP="00FE3416">
      <w:pPr>
        <w:rPr>
          <w:lang w:val="en-US"/>
        </w:rPr>
      </w:pPr>
      <w:r w:rsidRPr="00FE3416">
        <w:rPr>
          <w:b/>
          <w:bCs/>
          <w:lang w:val="en-US"/>
        </w:rPr>
        <w:t>Abstract:</w:t>
      </w:r>
    </w:p>
    <w:p w14:paraId="00ECBECF" w14:textId="36E62E70" w:rsidR="00FE3416" w:rsidRDefault="00FE3416" w:rsidP="00FE3416">
      <w:pPr>
        <w:rPr>
          <w:lang w:val="en-US"/>
        </w:rPr>
      </w:pPr>
      <w:r w:rsidRPr="00FE3416">
        <w:rPr>
          <w:lang w:val="en-US"/>
        </w:rPr>
        <w:t xml:space="preserve">This paper presents the first systematic characterization of Fire Dynamics Simulator (FDS 6.10.1) with </w:t>
      </w:r>
      <w:proofErr w:type="spellStart"/>
      <w:r w:rsidRPr="00FE3416">
        <w:rPr>
          <w:lang w:val="en-US"/>
        </w:rPr>
        <w:t>Lagrangian</w:t>
      </w:r>
      <w:proofErr w:type="spellEnd"/>
      <w:r w:rsidRPr="00FE3416">
        <w:rPr>
          <w:lang w:val="en-US"/>
        </w:rPr>
        <w:t xml:space="preserve"> vegetation particles, the Wildland Fire Dynamics Simulator (WFDS) model of Mell et al., deployed at scale on </w:t>
      </w:r>
      <w:proofErr w:type="spellStart"/>
      <w:r w:rsidRPr="00FE3416">
        <w:rPr>
          <w:lang w:val="en-US"/>
        </w:rPr>
        <w:t>EuroHPC</w:t>
      </w:r>
      <w:proofErr w:type="spellEnd"/>
      <w:r w:rsidRPr="00FE3416">
        <w:rPr>
          <w:lang w:val="en-US"/>
        </w:rPr>
        <w:t xml:space="preserve"> supercomputing infrastructure within the HIDALGO2 Centre of Excellence. We describe an end-to-end pipeline that connects procedural vegetation generation in Unreal Engine 5 (UE5) to physics-based fire simulation in FDS/WFDS, and from the simulation back to real-time volumetric rendering via </w:t>
      </w:r>
      <w:proofErr w:type="spellStart"/>
      <w:r w:rsidRPr="00FE3416">
        <w:rPr>
          <w:lang w:val="en-US"/>
        </w:rPr>
        <w:t>OpenVDB</w:t>
      </w:r>
      <w:proofErr w:type="spellEnd"/>
      <w:r w:rsidRPr="00FE3416">
        <w:rPr>
          <w:lang w:val="en-US"/>
        </w:rPr>
        <w:t xml:space="preserve"> and UE5 Sparse Volume Textures. The pipeline is novel in two respects: the biomass distribution fed to FDS is derived from the exact three-dimensional geometry of procedurally generated tree crowns, and the simulation output is visualized in real time within the same UE5 environment that generated the vegetation. Empirical strong and weak scaling experiments on LUMI (CSC, Finland) and </w:t>
      </w:r>
      <w:proofErr w:type="spellStart"/>
      <w:r w:rsidRPr="00FE3416">
        <w:rPr>
          <w:lang w:val="en-US"/>
        </w:rPr>
        <w:t>MeluXina</w:t>
      </w:r>
      <w:proofErr w:type="spellEnd"/>
      <w:r w:rsidRPr="00FE3416">
        <w:rPr>
          <w:lang w:val="en-US"/>
        </w:rPr>
        <w:t xml:space="preserve"> (</w:t>
      </w:r>
      <w:proofErr w:type="spellStart"/>
      <w:r w:rsidRPr="00FE3416">
        <w:rPr>
          <w:lang w:val="en-US"/>
        </w:rPr>
        <w:t>LuxProvide</w:t>
      </w:r>
      <w:proofErr w:type="spellEnd"/>
      <w:r w:rsidRPr="00FE3416">
        <w:rPr>
          <w:lang w:val="en-US"/>
        </w:rPr>
        <w:t xml:space="preserve">, Luxembourg) reveal that the MPI scalability sweet spot for FDS with active combustion and </w:t>
      </w:r>
      <w:proofErr w:type="spellStart"/>
      <w:r w:rsidRPr="00FE3416">
        <w:rPr>
          <w:lang w:val="en-US"/>
        </w:rPr>
        <w:t>Lagrangian</w:t>
      </w:r>
      <w:proofErr w:type="spellEnd"/>
      <w:r w:rsidRPr="00FE3416">
        <w:rPr>
          <w:lang w:val="en-US"/>
        </w:rPr>
        <w:t xml:space="preserve"> particles is approximately 12,500 cells per core, roughly two orders of magnitude below values reported for non-combustion CFD codes. We identify and verify the physical and architectural bottlenecks of FDS at HPC scale, document the practical operating envelope of each </w:t>
      </w:r>
      <w:proofErr w:type="spellStart"/>
      <w:r w:rsidRPr="00FE3416">
        <w:rPr>
          <w:lang w:val="en-US"/>
        </w:rPr>
        <w:t>EuroHPC</w:t>
      </w:r>
      <w:proofErr w:type="spellEnd"/>
      <w:r w:rsidRPr="00FE3416">
        <w:rPr>
          <w:lang w:val="en-US"/>
        </w:rPr>
        <w:t xml:space="preserve"> cluster, and propose a targeted fork of FDS (feature/binary-particle-</w:t>
      </w:r>
      <w:proofErr w:type="spellStart"/>
      <w:r w:rsidRPr="00FE3416">
        <w:rPr>
          <w:lang w:val="en-US"/>
        </w:rPr>
        <w:t>init</w:t>
      </w:r>
      <w:proofErr w:type="spellEnd"/>
      <w:r w:rsidRPr="00FE3416">
        <w:rPr>
          <w:lang w:val="en-US"/>
        </w:rPr>
        <w:t>) that resolves a fundamental source-code-verified limitation preventing per-voxel heterogeneous fuel load assignment.</w:t>
      </w:r>
    </w:p>
    <w:p w14:paraId="6D4C733C" w14:textId="77777777" w:rsidR="003A36B3" w:rsidRDefault="003A36B3" w:rsidP="00FE3416">
      <w:pPr>
        <w:pBdr>
          <w:bottom w:val="single" w:sz="6" w:space="1" w:color="auto"/>
        </w:pBdr>
        <w:rPr>
          <w:lang w:val="en-US"/>
        </w:rPr>
      </w:pPr>
    </w:p>
    <w:p w14:paraId="43606487" w14:textId="77777777" w:rsidR="003A36B3" w:rsidRDefault="003A36B3" w:rsidP="00FE3416">
      <w:pPr>
        <w:rPr>
          <w:lang w:val="en-US"/>
        </w:rPr>
      </w:pPr>
    </w:p>
    <w:p w14:paraId="13A18686" w14:textId="77777777" w:rsidR="00FE3416" w:rsidRDefault="00FE3416" w:rsidP="00FE3416">
      <w:pPr>
        <w:rPr>
          <w:lang w:val="en-US"/>
        </w:rPr>
      </w:pPr>
      <w:r w:rsidRPr="003A36B3">
        <w:rPr>
          <w:b/>
          <w:bCs/>
          <w:lang w:val="en-US"/>
        </w:rPr>
        <w:t>150</w:t>
      </w:r>
      <w:r w:rsidRPr="00FE3416">
        <w:rPr>
          <w:lang w:val="en-US"/>
        </w:rPr>
        <w:tab/>
        <w:t xml:space="preserve">László </w:t>
      </w:r>
      <w:proofErr w:type="spellStart"/>
      <w:r w:rsidRPr="00FE3416">
        <w:rPr>
          <w:lang w:val="en-US"/>
        </w:rPr>
        <w:t>Környei</w:t>
      </w:r>
      <w:proofErr w:type="spellEnd"/>
      <w:r w:rsidRPr="00FE3416">
        <w:rPr>
          <w:lang w:val="en-US"/>
        </w:rPr>
        <w:t xml:space="preserve">, Attila </w:t>
      </w:r>
      <w:proofErr w:type="spellStart"/>
      <w:r w:rsidRPr="00FE3416">
        <w:rPr>
          <w:lang w:val="en-US"/>
        </w:rPr>
        <w:t>Ádám</w:t>
      </w:r>
      <w:proofErr w:type="spellEnd"/>
      <w:r w:rsidRPr="00FE3416">
        <w:rPr>
          <w:lang w:val="en-US"/>
        </w:rPr>
        <w:t xml:space="preserve"> </w:t>
      </w:r>
      <w:proofErr w:type="spellStart"/>
      <w:r w:rsidRPr="00FE3416">
        <w:rPr>
          <w:lang w:val="en-US"/>
        </w:rPr>
        <w:t>Balics</w:t>
      </w:r>
      <w:proofErr w:type="spellEnd"/>
      <w:r w:rsidRPr="00FE3416">
        <w:rPr>
          <w:lang w:val="en-US"/>
        </w:rPr>
        <w:t xml:space="preserve">, Nikolaos Chalvantzis, Vasiliki </w:t>
      </w:r>
      <w:proofErr w:type="spellStart"/>
      <w:r w:rsidRPr="00FE3416">
        <w:rPr>
          <w:lang w:val="en-US"/>
        </w:rPr>
        <w:t>Kostoula</w:t>
      </w:r>
      <w:proofErr w:type="spellEnd"/>
      <w:r w:rsidRPr="00FE3416">
        <w:rPr>
          <w:lang w:val="en-US"/>
        </w:rPr>
        <w:t xml:space="preserve"> and Dimitrios </w:t>
      </w:r>
      <w:proofErr w:type="spellStart"/>
      <w:r w:rsidRPr="00FE3416">
        <w:rPr>
          <w:lang w:val="en-US"/>
        </w:rPr>
        <w:t>Tsoumakos</w:t>
      </w:r>
      <w:proofErr w:type="spellEnd"/>
      <w:r w:rsidRPr="00FE3416">
        <w:rPr>
          <w:lang w:val="en-US"/>
        </w:rPr>
        <w:tab/>
      </w:r>
    </w:p>
    <w:p w14:paraId="215FBA0D" w14:textId="53F1F8E3" w:rsidR="00FE3416" w:rsidRPr="00FE3416" w:rsidRDefault="00FE3416" w:rsidP="00FE3416">
      <w:pPr>
        <w:rPr>
          <w:lang w:val="en-US"/>
        </w:rPr>
      </w:pPr>
      <w:r>
        <w:rPr>
          <w:lang w:val="en-US"/>
        </w:rPr>
        <w:t>“</w:t>
      </w:r>
      <w:r w:rsidRPr="00FE3416">
        <w:rPr>
          <w:i/>
          <w:iCs/>
          <w:lang w:val="en-US"/>
        </w:rPr>
        <w:t>Benchmarking Data-Local Analytics for Hybrid HPC/HPDA Scientific Workflows</w:t>
      </w:r>
      <w:r>
        <w:rPr>
          <w:lang w:val="en-US"/>
        </w:rPr>
        <w:t>”</w:t>
      </w:r>
    </w:p>
    <w:p w14:paraId="607899B6" w14:textId="2D971E8B" w:rsidR="00FE3416" w:rsidRDefault="00FE3416" w:rsidP="00FE3416">
      <w:pPr>
        <w:rPr>
          <w:lang w:val="en-US"/>
        </w:rPr>
      </w:pPr>
      <w:r w:rsidRPr="00FE3416">
        <w:rPr>
          <w:b/>
          <w:bCs/>
          <w:lang w:val="en-US"/>
        </w:rPr>
        <w:t>Abstract:</w:t>
      </w:r>
    </w:p>
    <w:p w14:paraId="5A795AD3" w14:textId="557408B9" w:rsidR="003A36B3" w:rsidRPr="003A36B3" w:rsidRDefault="003A36B3" w:rsidP="003A36B3">
      <w:pPr>
        <w:rPr>
          <w:lang w:val="en-US"/>
        </w:rPr>
      </w:pPr>
      <w:r w:rsidRPr="003A36B3">
        <w:rPr>
          <w:lang w:val="en-US"/>
        </w:rPr>
        <w:t xml:space="preserve">Scientific workflows increasingly combine large-scale simulation on high-performance computing systems with downstream analytics, visualization, and AI-oriented processing in high-performance data analytics environments. A central design question is therefore not whether analytics belongs to HPC or HPDA, but which stage of the data lifecycle should execute </w:t>
      </w:r>
      <w:proofErr w:type="gramStart"/>
      <w:r w:rsidRPr="003A36B3">
        <w:rPr>
          <w:lang w:val="en-US"/>
        </w:rPr>
        <w:t>where</w:t>
      </w:r>
      <w:proofErr w:type="gramEnd"/>
      <w:r w:rsidRPr="003A36B3">
        <w:rPr>
          <w:lang w:val="en-US"/>
        </w:rPr>
        <w:t xml:space="preserve">. This paper studies that question for the HiDALGO2 Urban Air Pollution workflow, which transforms </w:t>
      </w:r>
      <w:proofErr w:type="spellStart"/>
      <w:r w:rsidRPr="003A36B3">
        <w:rPr>
          <w:lang w:val="en-US"/>
        </w:rPr>
        <w:t>EnSight</w:t>
      </w:r>
      <w:proofErr w:type="spellEnd"/>
      <w:r w:rsidRPr="003A36B3">
        <w:rPr>
          <w:lang w:val="en-US"/>
        </w:rPr>
        <w:t xml:space="preserve"> Gold CFD output into columnar analytical data products and performs first-pass threshold-exceedance analysis over pollutant fields.</w:t>
      </w:r>
    </w:p>
    <w:p w14:paraId="5B4F6FC1" w14:textId="5F7F8995" w:rsidR="003A36B3" w:rsidRPr="003A36B3" w:rsidRDefault="003A36B3" w:rsidP="003A36B3">
      <w:pPr>
        <w:rPr>
          <w:lang w:val="en-US"/>
        </w:rPr>
      </w:pPr>
      <w:r w:rsidRPr="003A36B3">
        <w:rPr>
          <w:lang w:val="en-US"/>
        </w:rPr>
        <w:lastRenderedPageBreak/>
        <w:t>We present a benchmark-driven evaluation of simulation-adjacent analytics placement across storage paths, columnar formats, compression codecs, analytics tools, and execution infrastructures. The experiments evaluate ORC and Parquet outputs, compare Pandas, Polars, and Spark-based processing paths, and examine how storage hierarchy and data locality affect conversion and filtering performance. A weak-scaling experiment over monthly partitions shows that, under the evaluated Komondor configuration, full-year processing can complete with low turnaround time, with conversion and filtering finishing in approximately 69 s and 47 s, respectively.</w:t>
      </w:r>
    </w:p>
    <w:p w14:paraId="16EB95FC" w14:textId="117F2325" w:rsidR="00FE3416" w:rsidRDefault="003A36B3" w:rsidP="003A36B3">
      <w:pPr>
        <w:pBdr>
          <w:bottom w:val="single" w:sz="6" w:space="1" w:color="auto"/>
        </w:pBdr>
        <w:rPr>
          <w:lang w:val="en-US"/>
        </w:rPr>
      </w:pPr>
      <w:r w:rsidRPr="003A36B3">
        <w:rPr>
          <w:lang w:val="en-US"/>
        </w:rPr>
        <w:t>The results support a lifecycle-aware placement strategy. Early validation, conversion, and threshold filtering over fresh simulation output should, where possible, remain close to HPC-side storage, because this stage is tightly coupled to data locality and storage hierarchy. Moving raw simulation output into a separate Spark/HDFS or cloud-like HPDA environment before this first pass can introduce an additional data-movement boundary before an operation that can already be executed efficiently near the simulation output. After the data has been reduced and curated into reusable ORC or Parquet products, cloud-like HPDA may become more appropriate for shared access, notebook-based exploration, historical comparison, and AI-oriented workflows. The paper therefore argues for benchmarked placement boundaries rather than fixed platform labels for hybrid HPC/HPDA scientific workflows.</w:t>
      </w:r>
    </w:p>
    <w:p w14:paraId="36B1610C" w14:textId="77777777" w:rsidR="003A36B3" w:rsidRDefault="003A36B3" w:rsidP="003A36B3">
      <w:pPr>
        <w:pBdr>
          <w:bottom w:val="single" w:sz="6" w:space="1" w:color="auto"/>
        </w:pBdr>
        <w:rPr>
          <w:lang w:val="en-US"/>
        </w:rPr>
      </w:pPr>
    </w:p>
    <w:p w14:paraId="5445D09B" w14:textId="77777777" w:rsidR="003A36B3" w:rsidRDefault="003A36B3" w:rsidP="00FE3416">
      <w:pPr>
        <w:rPr>
          <w:lang w:val="en-US"/>
        </w:rPr>
      </w:pPr>
    </w:p>
    <w:p w14:paraId="04E4C2FC" w14:textId="77777777" w:rsidR="00FE3416" w:rsidRDefault="00FE3416" w:rsidP="00FE3416">
      <w:pPr>
        <w:rPr>
          <w:lang w:val="en-US"/>
        </w:rPr>
      </w:pPr>
      <w:r w:rsidRPr="003A36B3">
        <w:rPr>
          <w:b/>
          <w:bCs/>
          <w:lang w:val="en-US"/>
        </w:rPr>
        <w:t>151</w:t>
      </w:r>
      <w:r w:rsidRPr="00FE3416">
        <w:rPr>
          <w:lang w:val="en-US"/>
        </w:rPr>
        <w:tab/>
      </w:r>
      <w:proofErr w:type="spellStart"/>
      <w:r w:rsidRPr="00FE3416">
        <w:rPr>
          <w:lang w:val="en-US"/>
        </w:rPr>
        <w:t>Áron</w:t>
      </w:r>
      <w:proofErr w:type="spellEnd"/>
      <w:r w:rsidRPr="00FE3416">
        <w:rPr>
          <w:lang w:val="en-US"/>
        </w:rPr>
        <w:t xml:space="preserve"> Ákos </w:t>
      </w:r>
      <w:proofErr w:type="spellStart"/>
      <w:r w:rsidRPr="00FE3416">
        <w:rPr>
          <w:lang w:val="en-US"/>
        </w:rPr>
        <w:t>Németh</w:t>
      </w:r>
      <w:proofErr w:type="spellEnd"/>
      <w:r w:rsidRPr="00FE3416">
        <w:rPr>
          <w:lang w:val="en-US"/>
        </w:rPr>
        <w:t xml:space="preserve"> and László </w:t>
      </w:r>
      <w:proofErr w:type="spellStart"/>
      <w:r w:rsidRPr="00FE3416">
        <w:rPr>
          <w:lang w:val="en-US"/>
        </w:rPr>
        <w:t>Környei</w:t>
      </w:r>
      <w:proofErr w:type="spellEnd"/>
      <w:r w:rsidRPr="00FE3416">
        <w:rPr>
          <w:lang w:val="en-US"/>
        </w:rPr>
        <w:tab/>
      </w:r>
    </w:p>
    <w:p w14:paraId="70714828" w14:textId="1E66EABA" w:rsidR="00FE3416" w:rsidRPr="00FE3416" w:rsidRDefault="00FE3416" w:rsidP="00FE3416">
      <w:pPr>
        <w:rPr>
          <w:lang w:val="en-US"/>
        </w:rPr>
      </w:pPr>
      <w:r>
        <w:rPr>
          <w:lang w:val="en-US"/>
        </w:rPr>
        <w:t>“</w:t>
      </w:r>
      <w:r w:rsidRPr="00FE3416">
        <w:rPr>
          <w:i/>
          <w:iCs/>
          <w:lang w:val="en-US"/>
        </w:rPr>
        <w:t>Adaptive Scheduling of Hybrid HPC–</w:t>
      </w:r>
      <w:proofErr w:type="spellStart"/>
      <w:r w:rsidRPr="00FE3416">
        <w:rPr>
          <w:i/>
          <w:iCs/>
          <w:lang w:val="en-US"/>
        </w:rPr>
        <w:t>FaaS</w:t>
      </w:r>
      <w:proofErr w:type="spellEnd"/>
      <w:r w:rsidRPr="00FE3416">
        <w:rPr>
          <w:i/>
          <w:iCs/>
          <w:lang w:val="en-US"/>
        </w:rPr>
        <w:t xml:space="preserve"> Workflows with Multicriteria Decision Support</w:t>
      </w:r>
      <w:r>
        <w:rPr>
          <w:lang w:val="en-US"/>
        </w:rPr>
        <w:t>”</w:t>
      </w:r>
    </w:p>
    <w:p w14:paraId="61173238" w14:textId="3C872876" w:rsidR="00FE3416" w:rsidRDefault="00FE3416" w:rsidP="00FE3416">
      <w:pPr>
        <w:rPr>
          <w:lang w:val="en-US"/>
        </w:rPr>
      </w:pPr>
      <w:r w:rsidRPr="00FE3416">
        <w:rPr>
          <w:b/>
          <w:bCs/>
          <w:lang w:val="en-US"/>
        </w:rPr>
        <w:t>Abstract:</w:t>
      </w:r>
    </w:p>
    <w:p w14:paraId="5F5F317C" w14:textId="77777777" w:rsidR="003A36B3" w:rsidRDefault="003A36B3" w:rsidP="003A36B3">
      <w:pPr>
        <w:rPr>
          <w:lang w:val="en-US"/>
        </w:rPr>
      </w:pPr>
      <w:r w:rsidRPr="003A36B3">
        <w:rPr>
          <w:lang w:val="en-US"/>
        </w:rPr>
        <w:t>Modern scientific workflows often combine long-running simulations with short but latency-sensitive pre- and post-processing steps.</w:t>
      </w:r>
      <w:r>
        <w:rPr>
          <w:lang w:val="en-US"/>
        </w:rPr>
        <w:t xml:space="preserve"> </w:t>
      </w:r>
      <w:r w:rsidRPr="003A36B3">
        <w:rPr>
          <w:lang w:val="en-US"/>
        </w:rPr>
        <w:t>On conventional HPC systems, such short tasks may spend more time</w:t>
      </w:r>
      <w:r>
        <w:rPr>
          <w:lang w:val="en-US"/>
        </w:rPr>
        <w:t xml:space="preserve"> </w:t>
      </w:r>
      <w:r w:rsidRPr="003A36B3">
        <w:rPr>
          <w:lang w:val="en-US"/>
        </w:rPr>
        <w:t xml:space="preserve">waiting in a </w:t>
      </w:r>
      <w:proofErr w:type="spellStart"/>
      <w:r w:rsidRPr="003A36B3">
        <w:rPr>
          <w:lang w:val="en-US"/>
        </w:rPr>
        <w:t>Slurm</w:t>
      </w:r>
      <w:proofErr w:type="spellEnd"/>
      <w:r w:rsidRPr="003A36B3">
        <w:rPr>
          <w:lang w:val="en-US"/>
        </w:rPr>
        <w:t xml:space="preserve"> queue than performing useful computation, which</w:t>
      </w:r>
      <w:r>
        <w:rPr>
          <w:lang w:val="en-US"/>
        </w:rPr>
        <w:t xml:space="preserve"> </w:t>
      </w:r>
      <w:r w:rsidRPr="003A36B3">
        <w:rPr>
          <w:lang w:val="en-US"/>
        </w:rPr>
        <w:t>is particularly problematic in urgent computing scenarios such as wildfire propagation or urban air-quality modelling. This paper investigates</w:t>
      </w:r>
      <w:r>
        <w:rPr>
          <w:lang w:val="en-US"/>
        </w:rPr>
        <w:t xml:space="preserve"> </w:t>
      </w:r>
      <w:r w:rsidRPr="003A36B3">
        <w:rPr>
          <w:lang w:val="en-US"/>
        </w:rPr>
        <w:t>whether an on-premises Function-as-a-Service layer can complement a</w:t>
      </w:r>
      <w:r>
        <w:rPr>
          <w:lang w:val="en-US"/>
        </w:rPr>
        <w:t xml:space="preserve"> </w:t>
      </w:r>
      <w:r w:rsidRPr="003A36B3">
        <w:rPr>
          <w:lang w:val="en-US"/>
        </w:rPr>
        <w:t>traditional HPC backend for such workflow stages.</w:t>
      </w:r>
      <w:r>
        <w:rPr>
          <w:lang w:val="en-US"/>
        </w:rPr>
        <w:t xml:space="preserve"> </w:t>
      </w:r>
    </w:p>
    <w:p w14:paraId="28DC9C5C" w14:textId="4051FFBC" w:rsidR="003A36B3" w:rsidRPr="003A36B3" w:rsidRDefault="003A36B3" w:rsidP="003A36B3">
      <w:pPr>
        <w:rPr>
          <w:lang w:val="en-US"/>
        </w:rPr>
      </w:pPr>
      <w:r w:rsidRPr="003A36B3">
        <w:rPr>
          <w:lang w:val="en-US"/>
        </w:rPr>
        <w:t>We present an adaptive decision engine for hybrid HPC–</w:t>
      </w:r>
      <w:proofErr w:type="spellStart"/>
      <w:r w:rsidRPr="003A36B3">
        <w:rPr>
          <w:lang w:val="en-US"/>
        </w:rPr>
        <w:t>FaaS</w:t>
      </w:r>
      <w:proofErr w:type="spellEnd"/>
      <w:r w:rsidRPr="003A36B3">
        <w:rPr>
          <w:lang w:val="en-US"/>
        </w:rPr>
        <w:t xml:space="preserve"> execution.</w:t>
      </w:r>
      <w:r>
        <w:rPr>
          <w:lang w:val="en-US"/>
        </w:rPr>
        <w:t xml:space="preserve"> </w:t>
      </w:r>
      <w:r w:rsidRPr="003A36B3">
        <w:rPr>
          <w:lang w:val="en-US"/>
        </w:rPr>
        <w:t>The first decision layer filters feasible backends according to availability,</w:t>
      </w:r>
      <w:r>
        <w:rPr>
          <w:lang w:val="en-US"/>
        </w:rPr>
        <w:t xml:space="preserve"> </w:t>
      </w:r>
      <w:r w:rsidRPr="003A36B3">
        <w:rPr>
          <w:lang w:val="en-US"/>
        </w:rPr>
        <w:t>resource constraints, and user preferences; the second layer applies a</w:t>
      </w:r>
      <w:r>
        <w:rPr>
          <w:lang w:val="en-US"/>
        </w:rPr>
        <w:t xml:space="preserve"> </w:t>
      </w:r>
      <w:r w:rsidRPr="003A36B3">
        <w:rPr>
          <w:lang w:val="en-US"/>
        </w:rPr>
        <w:t>Weighted Sum Model to combine estimated turnaround time, per-task</w:t>
      </w:r>
      <w:r>
        <w:rPr>
          <w:lang w:val="en-US"/>
        </w:rPr>
        <w:t xml:space="preserve"> </w:t>
      </w:r>
      <w:r w:rsidRPr="003A36B3">
        <w:rPr>
          <w:lang w:val="en-US"/>
        </w:rPr>
        <w:t xml:space="preserve">cost, and energy consumption. The implementation integrates </w:t>
      </w:r>
      <w:proofErr w:type="spellStart"/>
      <w:r w:rsidRPr="003A36B3">
        <w:rPr>
          <w:lang w:val="en-US"/>
        </w:rPr>
        <w:t>Slurm</w:t>
      </w:r>
      <w:proofErr w:type="spellEnd"/>
      <w:r w:rsidRPr="003A36B3">
        <w:rPr>
          <w:lang w:val="en-US"/>
        </w:rPr>
        <w:t>,</w:t>
      </w:r>
      <w:r>
        <w:rPr>
          <w:lang w:val="en-US"/>
        </w:rPr>
        <w:t xml:space="preserve"> </w:t>
      </w:r>
      <w:r w:rsidRPr="003A36B3">
        <w:rPr>
          <w:lang w:val="en-US"/>
        </w:rPr>
        <w:t>K3s/</w:t>
      </w:r>
      <w:proofErr w:type="spellStart"/>
      <w:r w:rsidRPr="003A36B3">
        <w:rPr>
          <w:lang w:val="en-US"/>
        </w:rPr>
        <w:t>Nuclio</w:t>
      </w:r>
      <w:proofErr w:type="spellEnd"/>
      <w:r w:rsidRPr="003A36B3">
        <w:rPr>
          <w:lang w:val="en-US"/>
        </w:rPr>
        <w:t xml:space="preserve">, and </w:t>
      </w:r>
      <w:proofErr w:type="spellStart"/>
      <w:r w:rsidRPr="003A36B3">
        <w:rPr>
          <w:lang w:val="en-US"/>
        </w:rPr>
        <w:t>MinIO</w:t>
      </w:r>
      <w:proofErr w:type="spellEnd"/>
      <w:r w:rsidRPr="003A36B3">
        <w:rPr>
          <w:lang w:val="en-US"/>
        </w:rPr>
        <w:t xml:space="preserve"> into a unified execution and data path, and</w:t>
      </w:r>
    </w:p>
    <w:p w14:paraId="539A00A3" w14:textId="59EBFC1C" w:rsidR="003A36B3" w:rsidRPr="003A36B3" w:rsidRDefault="003A36B3" w:rsidP="003A36B3">
      <w:pPr>
        <w:rPr>
          <w:lang w:val="en-US"/>
        </w:rPr>
      </w:pPr>
      <w:r w:rsidRPr="003A36B3">
        <w:rPr>
          <w:lang w:val="en-US"/>
        </w:rPr>
        <w:t>is evaluated using an OpenStreetMap-based 3D urban mesh generation</w:t>
      </w:r>
      <w:r>
        <w:rPr>
          <w:lang w:val="en-US"/>
        </w:rPr>
        <w:t xml:space="preserve"> </w:t>
      </w:r>
      <w:r w:rsidRPr="003A36B3">
        <w:rPr>
          <w:lang w:val="en-US"/>
        </w:rPr>
        <w:t>workload relevant to environmental simulation workflows.</w:t>
      </w:r>
    </w:p>
    <w:p w14:paraId="449DC809" w14:textId="1A02A44E" w:rsidR="00FE3416" w:rsidRDefault="003A36B3" w:rsidP="003A36B3">
      <w:pPr>
        <w:rPr>
          <w:lang w:val="en-US"/>
        </w:rPr>
      </w:pPr>
      <w:r w:rsidRPr="003A36B3">
        <w:rPr>
          <w:lang w:val="en-US"/>
        </w:rPr>
        <w:lastRenderedPageBreak/>
        <w:t xml:space="preserve">Experiments compare HPC mesh, </w:t>
      </w:r>
      <w:proofErr w:type="spellStart"/>
      <w:r w:rsidRPr="003A36B3">
        <w:rPr>
          <w:lang w:val="en-US"/>
        </w:rPr>
        <w:t>FaaS</w:t>
      </w:r>
      <w:proofErr w:type="spellEnd"/>
      <w:r w:rsidRPr="003A36B3">
        <w:rPr>
          <w:lang w:val="en-US"/>
        </w:rPr>
        <w:t xml:space="preserve"> mesh, post-hoc ADE routing,</w:t>
      </w:r>
      <w:r>
        <w:rPr>
          <w:lang w:val="en-US"/>
        </w:rPr>
        <w:t xml:space="preserve"> </w:t>
      </w:r>
      <w:r w:rsidRPr="003A36B3">
        <w:rPr>
          <w:lang w:val="en-US"/>
        </w:rPr>
        <w:t xml:space="preserve">and a measured hybrid </w:t>
      </w:r>
      <w:proofErr w:type="spellStart"/>
      <w:r w:rsidRPr="003A36B3">
        <w:rPr>
          <w:lang w:val="en-US"/>
        </w:rPr>
        <w:t>MinIO</w:t>
      </w:r>
      <w:proofErr w:type="spellEnd"/>
      <w:r w:rsidRPr="003A36B3">
        <w:rPr>
          <w:lang w:val="en-US"/>
        </w:rPr>
        <w:t xml:space="preserve"> pipeline across three workload sizes. In</w:t>
      </w:r>
      <w:r>
        <w:rPr>
          <w:lang w:val="en-US"/>
        </w:rPr>
        <w:t xml:space="preserve"> </w:t>
      </w:r>
      <w:r w:rsidRPr="003A36B3">
        <w:rPr>
          <w:lang w:val="en-US"/>
        </w:rPr>
        <w:t xml:space="preserve">the evaluated setup, </w:t>
      </w:r>
      <w:proofErr w:type="spellStart"/>
      <w:r w:rsidRPr="003A36B3">
        <w:rPr>
          <w:lang w:val="en-US"/>
        </w:rPr>
        <w:t>FaaS</w:t>
      </w:r>
      <w:proofErr w:type="spellEnd"/>
      <w:r w:rsidRPr="003A36B3">
        <w:rPr>
          <w:lang w:val="en-US"/>
        </w:rPr>
        <w:t xml:space="preserve"> gives lower mesh-stage latency for all three</w:t>
      </w:r>
      <w:r>
        <w:rPr>
          <w:lang w:val="en-US"/>
        </w:rPr>
        <w:t xml:space="preserve"> </w:t>
      </w:r>
      <w:r w:rsidRPr="003A36B3">
        <w:rPr>
          <w:lang w:val="en-US"/>
        </w:rPr>
        <w:t>scale classes, with negative crossover thresholds even at zero queue time;</w:t>
      </w:r>
      <w:r>
        <w:rPr>
          <w:lang w:val="en-US"/>
        </w:rPr>
        <w:t xml:space="preserve"> </w:t>
      </w:r>
      <w:proofErr w:type="spellStart"/>
      <w:r w:rsidRPr="003A36B3">
        <w:rPr>
          <w:lang w:val="en-US"/>
        </w:rPr>
        <w:t>OpenFOAM</w:t>
      </w:r>
      <w:proofErr w:type="spellEnd"/>
      <w:r w:rsidRPr="003A36B3">
        <w:rPr>
          <w:lang w:val="en-US"/>
        </w:rPr>
        <w:t xml:space="preserve"> remains faster on the HPC backend under the measured</w:t>
      </w:r>
      <w:r>
        <w:rPr>
          <w:lang w:val="en-US"/>
        </w:rPr>
        <w:t xml:space="preserve"> </w:t>
      </w:r>
      <w:r w:rsidRPr="003A36B3">
        <w:rPr>
          <w:lang w:val="en-US"/>
        </w:rPr>
        <w:t>hardware ratio. The results indicate that lightweight routing can reduce</w:t>
      </w:r>
      <w:r>
        <w:rPr>
          <w:lang w:val="en-US"/>
        </w:rPr>
        <w:t xml:space="preserve"> </w:t>
      </w:r>
      <w:r w:rsidRPr="003A36B3">
        <w:rPr>
          <w:lang w:val="en-US"/>
        </w:rPr>
        <w:t>latency for short scientific workflow stages while keeping tightly coupled</w:t>
      </w:r>
      <w:r>
        <w:rPr>
          <w:lang w:val="en-US"/>
        </w:rPr>
        <w:t xml:space="preserve"> </w:t>
      </w:r>
      <w:r w:rsidRPr="003A36B3">
        <w:rPr>
          <w:lang w:val="en-US"/>
        </w:rPr>
        <w:t xml:space="preserve">simulation work on HPC. The study also provides a reproducible benchmark protocol for </w:t>
      </w:r>
      <w:proofErr w:type="spellStart"/>
      <w:r w:rsidRPr="003A36B3">
        <w:rPr>
          <w:lang w:val="en-US"/>
        </w:rPr>
        <w:t>analysing</w:t>
      </w:r>
      <w:proofErr w:type="spellEnd"/>
      <w:r w:rsidRPr="003A36B3">
        <w:rPr>
          <w:lang w:val="en-US"/>
        </w:rPr>
        <w:t xml:space="preserve"> HPC–serverless trade-offs in global challenge</w:t>
      </w:r>
      <w:r>
        <w:rPr>
          <w:lang w:val="en-US"/>
        </w:rPr>
        <w:t xml:space="preserve"> </w:t>
      </w:r>
      <w:r w:rsidRPr="003A36B3">
        <w:rPr>
          <w:lang w:val="en-US"/>
        </w:rPr>
        <w:t>applications.</w:t>
      </w:r>
    </w:p>
    <w:p w14:paraId="0A144417" w14:textId="77777777" w:rsidR="003A36B3" w:rsidRDefault="003A36B3" w:rsidP="00FE3416">
      <w:pPr>
        <w:pBdr>
          <w:bottom w:val="single" w:sz="6" w:space="1" w:color="auto"/>
        </w:pBdr>
        <w:rPr>
          <w:lang w:val="en-US"/>
        </w:rPr>
      </w:pPr>
    </w:p>
    <w:p w14:paraId="38B96B94" w14:textId="77777777" w:rsidR="003A36B3" w:rsidRDefault="003A36B3" w:rsidP="00FE3416">
      <w:pPr>
        <w:rPr>
          <w:lang w:val="en-US"/>
        </w:rPr>
      </w:pPr>
    </w:p>
    <w:p w14:paraId="6E4D5D9B" w14:textId="77777777" w:rsidR="00FE3416" w:rsidRDefault="00FE3416" w:rsidP="00FE3416">
      <w:pPr>
        <w:rPr>
          <w:lang w:val="en-US"/>
        </w:rPr>
      </w:pPr>
      <w:r w:rsidRPr="003A36B3">
        <w:rPr>
          <w:b/>
          <w:bCs/>
          <w:lang w:val="en-US"/>
        </w:rPr>
        <w:t>152</w:t>
      </w:r>
      <w:r w:rsidRPr="00FE3416">
        <w:rPr>
          <w:lang w:val="en-US"/>
        </w:rPr>
        <w:tab/>
        <w:t xml:space="preserve">Juliette </w:t>
      </w:r>
      <w:proofErr w:type="spellStart"/>
      <w:r w:rsidRPr="00FE3416">
        <w:rPr>
          <w:lang w:val="en-US"/>
        </w:rPr>
        <w:t>Antonczak</w:t>
      </w:r>
      <w:proofErr w:type="spellEnd"/>
      <w:r w:rsidRPr="00FE3416">
        <w:rPr>
          <w:lang w:val="en-US"/>
        </w:rPr>
        <w:t xml:space="preserve">, Vincent Chabannes, Javier Cladellas, Gwennolé </w:t>
      </w:r>
      <w:proofErr w:type="spellStart"/>
      <w:r w:rsidRPr="00FE3416">
        <w:rPr>
          <w:lang w:val="en-US"/>
        </w:rPr>
        <w:t>Chappron</w:t>
      </w:r>
      <w:proofErr w:type="spellEnd"/>
      <w:r w:rsidRPr="00FE3416">
        <w:rPr>
          <w:lang w:val="en-US"/>
        </w:rPr>
        <w:t xml:space="preserve">, Philippe Pincon and Christophe </w:t>
      </w:r>
      <w:proofErr w:type="spellStart"/>
      <w:r w:rsidRPr="00FE3416">
        <w:rPr>
          <w:lang w:val="en-US"/>
        </w:rPr>
        <w:t>Prud'Homme</w:t>
      </w:r>
      <w:proofErr w:type="spellEnd"/>
      <w:r w:rsidRPr="00FE3416">
        <w:rPr>
          <w:lang w:val="en-US"/>
        </w:rPr>
        <w:tab/>
      </w:r>
    </w:p>
    <w:p w14:paraId="44EA12A7" w14:textId="6281A3D2" w:rsidR="00FE3416" w:rsidRPr="00FE3416" w:rsidRDefault="00FE3416" w:rsidP="00FE3416">
      <w:pPr>
        <w:rPr>
          <w:lang w:val="en-US"/>
        </w:rPr>
      </w:pPr>
      <w:r>
        <w:rPr>
          <w:lang w:val="en-US"/>
        </w:rPr>
        <w:t>“</w:t>
      </w:r>
      <w:proofErr w:type="spellStart"/>
      <w:r w:rsidRPr="00FE3416">
        <w:rPr>
          <w:i/>
          <w:iCs/>
          <w:lang w:val="en-US"/>
        </w:rPr>
        <w:t>Ktirio</w:t>
      </w:r>
      <w:proofErr w:type="spellEnd"/>
      <w:r w:rsidRPr="00FE3416">
        <w:rPr>
          <w:i/>
          <w:iCs/>
          <w:lang w:val="en-US"/>
        </w:rPr>
        <w:t xml:space="preserve"> Urban Building: Reproducible Scenario-Based City-Scale Energy Simulation on </w:t>
      </w:r>
      <w:proofErr w:type="spellStart"/>
      <w:r w:rsidRPr="00FE3416">
        <w:rPr>
          <w:i/>
          <w:iCs/>
          <w:lang w:val="en-US"/>
        </w:rPr>
        <w:t>EuroHPC</w:t>
      </w:r>
      <w:proofErr w:type="spellEnd"/>
      <w:r w:rsidRPr="00FE3416">
        <w:rPr>
          <w:i/>
          <w:iCs/>
          <w:lang w:val="en-US"/>
        </w:rPr>
        <w:t xml:space="preserve"> Systems</w:t>
      </w:r>
      <w:r>
        <w:rPr>
          <w:lang w:val="en-US"/>
        </w:rPr>
        <w:t>”</w:t>
      </w:r>
    </w:p>
    <w:p w14:paraId="20248989" w14:textId="3D1CC623" w:rsidR="00FE3416" w:rsidRDefault="00FE3416" w:rsidP="00FE3416">
      <w:pPr>
        <w:rPr>
          <w:b/>
          <w:bCs/>
          <w:lang w:val="en-US"/>
        </w:rPr>
      </w:pPr>
      <w:r w:rsidRPr="00FE3416">
        <w:rPr>
          <w:b/>
          <w:bCs/>
          <w:lang w:val="en-US"/>
        </w:rPr>
        <w:t>Abstract:</w:t>
      </w:r>
    </w:p>
    <w:p w14:paraId="0235EA30" w14:textId="2C489183" w:rsidR="00FE3416" w:rsidRPr="00FE3416" w:rsidRDefault="003A36B3" w:rsidP="00FE3416">
      <w:pPr>
        <w:rPr>
          <w:lang w:val="en-US"/>
        </w:rPr>
      </w:pPr>
      <w:proofErr w:type="spellStart"/>
      <w:r w:rsidRPr="003A36B3">
        <w:rPr>
          <w:lang w:val="en-US"/>
        </w:rPr>
        <w:t>Ktirio</w:t>
      </w:r>
      <w:proofErr w:type="spellEnd"/>
      <w:r w:rsidRPr="003A36B3">
        <w:rPr>
          <w:lang w:val="en-US"/>
        </w:rPr>
        <w:t xml:space="preserve"> Urban Building (KUB) is a high-performance computing framework for city-scale building energy simulation developed in the HiDALGO2 Centre of Excellence. This contribution is a follow-up on a previous article that introduced the first KUB workflow, its CI/CD and </w:t>
      </w:r>
      <w:proofErr w:type="spellStart"/>
      <w:r w:rsidRPr="003A36B3">
        <w:rPr>
          <w:lang w:val="en-US"/>
        </w:rPr>
        <w:t>HPCOps</w:t>
      </w:r>
      <w:proofErr w:type="spellEnd"/>
      <w:r w:rsidRPr="003A36B3">
        <w:rPr>
          <w:lang w:val="en-US"/>
        </w:rPr>
        <w:t xml:space="preserve"> environment, and initial </w:t>
      </w:r>
      <w:proofErr w:type="spellStart"/>
      <w:r w:rsidRPr="003A36B3">
        <w:rPr>
          <w:lang w:val="en-US"/>
        </w:rPr>
        <w:t>EuroHPC</w:t>
      </w:r>
      <w:proofErr w:type="spellEnd"/>
      <w:r w:rsidRPr="003A36B3">
        <w:rPr>
          <w:lang w:val="en-US"/>
        </w:rPr>
        <w:t xml:space="preserve"> scalability results. This paper presents a substantial update of the framework toward reproducible scenario-based urban energy studies. The new workflow introduces versioned dataset handling for locations and simulators, explicit scenario descriptions, improved geometry preprocessing, partitioned urban meshes, and solar-mask computations used to represent urban shading effects. The modeling layer has also evolved toward configurable multizone building models coupled with </w:t>
      </w:r>
      <w:proofErr w:type="spellStart"/>
      <w:r w:rsidRPr="003A36B3">
        <w:rPr>
          <w:lang w:val="en-US"/>
        </w:rPr>
        <w:t>Modelica</w:t>
      </w:r>
      <w:proofErr w:type="spellEnd"/>
      <w:r w:rsidRPr="003A36B3">
        <w:rPr>
          <w:lang w:val="en-US"/>
        </w:rPr>
        <w:t xml:space="preserve">/FMUs and Feel++ numerical components. On top of single deterministic simulations, KUB now supports ensemble execution for parameter studies and uncertainty quantification, with structured outputs and post-processing suitable for city-scale indicators. Finally, we describe the updated benchmarking workflow based on Feel++ benchmarking, </w:t>
      </w:r>
      <w:proofErr w:type="spellStart"/>
      <w:r w:rsidRPr="003A36B3">
        <w:rPr>
          <w:lang w:val="en-US"/>
        </w:rPr>
        <w:t>ReFrame</w:t>
      </w:r>
      <w:proofErr w:type="spellEnd"/>
      <w:r w:rsidRPr="003A36B3">
        <w:rPr>
          <w:lang w:val="en-US"/>
        </w:rPr>
        <w:t xml:space="preserve">-HPC, </w:t>
      </w:r>
      <w:proofErr w:type="spellStart"/>
      <w:r w:rsidRPr="003A36B3">
        <w:rPr>
          <w:lang w:val="en-US"/>
        </w:rPr>
        <w:t>Apptainer</w:t>
      </w:r>
      <w:proofErr w:type="spellEnd"/>
      <w:r w:rsidRPr="003A36B3">
        <w:rPr>
          <w:lang w:val="en-US"/>
        </w:rPr>
        <w:t xml:space="preserve">, </w:t>
      </w:r>
      <w:proofErr w:type="spellStart"/>
      <w:r w:rsidRPr="003A36B3">
        <w:rPr>
          <w:lang w:val="en-US"/>
        </w:rPr>
        <w:t>Slurm</w:t>
      </w:r>
      <w:proofErr w:type="spellEnd"/>
      <w:r w:rsidRPr="003A36B3">
        <w:rPr>
          <w:lang w:val="en-US"/>
        </w:rPr>
        <w:t xml:space="preserve">, and dashboard generation, enabling reproducible performance studies on </w:t>
      </w:r>
      <w:proofErr w:type="spellStart"/>
      <w:r w:rsidRPr="003A36B3">
        <w:rPr>
          <w:lang w:val="en-US"/>
        </w:rPr>
        <w:t>EuroHPC</w:t>
      </w:r>
      <w:proofErr w:type="spellEnd"/>
      <w:r w:rsidRPr="003A36B3">
        <w:rPr>
          <w:lang w:val="en-US"/>
        </w:rPr>
        <w:t xml:space="preserve"> systems. The resulting framework provides an end-to-end path from urban datasets and scenarios to scalable simulation, uncertainty analysis, and benchmarked execution on large-scale computing infrastructures. </w:t>
      </w:r>
    </w:p>
    <w:p w14:paraId="03D46DA4" w14:textId="77777777" w:rsidR="00FE3416" w:rsidRDefault="00FE3416" w:rsidP="00FE3416">
      <w:pPr>
        <w:pBdr>
          <w:bottom w:val="single" w:sz="6" w:space="1" w:color="auto"/>
        </w:pBdr>
        <w:rPr>
          <w:lang w:val="en-US"/>
        </w:rPr>
      </w:pPr>
    </w:p>
    <w:p w14:paraId="58660FB9" w14:textId="77777777" w:rsidR="003A36B3" w:rsidRPr="00FE3416" w:rsidRDefault="003A36B3" w:rsidP="00FE3416">
      <w:pPr>
        <w:rPr>
          <w:lang w:val="en-US"/>
        </w:rPr>
      </w:pPr>
    </w:p>
    <w:p w14:paraId="3B1DEA24" w14:textId="77777777" w:rsidR="00FE3416" w:rsidRDefault="00FE3416" w:rsidP="00FE3416">
      <w:pPr>
        <w:rPr>
          <w:lang w:val="en-US"/>
        </w:rPr>
      </w:pPr>
      <w:r w:rsidRPr="003A36B3">
        <w:rPr>
          <w:b/>
          <w:bCs/>
          <w:lang w:val="en-US"/>
        </w:rPr>
        <w:t>160</w:t>
      </w:r>
      <w:r w:rsidRPr="00FE3416">
        <w:rPr>
          <w:lang w:val="en-US"/>
        </w:rPr>
        <w:tab/>
        <w:t xml:space="preserve">Marcin Lawenda, Aleksandra </w:t>
      </w:r>
      <w:proofErr w:type="spellStart"/>
      <w:r w:rsidRPr="00FE3416">
        <w:rPr>
          <w:lang w:val="en-US"/>
        </w:rPr>
        <w:t>Krasicka</w:t>
      </w:r>
      <w:proofErr w:type="spellEnd"/>
      <w:r w:rsidRPr="00FE3416">
        <w:rPr>
          <w:lang w:val="en-US"/>
        </w:rPr>
        <w:t xml:space="preserve">, David Caballero, Luis Torres and Łukasz </w:t>
      </w:r>
      <w:proofErr w:type="spellStart"/>
      <w:r w:rsidRPr="00FE3416">
        <w:rPr>
          <w:lang w:val="en-US"/>
        </w:rPr>
        <w:t>Szustak</w:t>
      </w:r>
      <w:proofErr w:type="spellEnd"/>
      <w:r w:rsidRPr="00FE3416">
        <w:rPr>
          <w:lang w:val="en-US"/>
        </w:rPr>
        <w:tab/>
      </w:r>
    </w:p>
    <w:p w14:paraId="62DA6EB4" w14:textId="4DEE05F7" w:rsidR="00FE3416" w:rsidRPr="00FE3416" w:rsidRDefault="00FE3416" w:rsidP="00FE3416">
      <w:pPr>
        <w:rPr>
          <w:lang w:val="en-US"/>
        </w:rPr>
      </w:pPr>
      <w:r>
        <w:rPr>
          <w:lang w:val="en-US"/>
        </w:rPr>
        <w:lastRenderedPageBreak/>
        <w:t>“</w:t>
      </w:r>
      <w:r w:rsidRPr="00FE3416">
        <w:rPr>
          <w:i/>
          <w:iCs/>
          <w:lang w:val="en-US"/>
        </w:rPr>
        <w:t>Interpretable Patch</w:t>
      </w:r>
      <w:r w:rsidRPr="00FE3416">
        <w:rPr>
          <w:rFonts w:ascii="Cambria Math" w:hAnsi="Cambria Math" w:cs="Cambria Math"/>
          <w:i/>
          <w:iCs/>
          <w:lang w:val="en-US"/>
        </w:rPr>
        <w:t>‑</w:t>
      </w:r>
      <w:r w:rsidRPr="00FE3416">
        <w:rPr>
          <w:i/>
          <w:iCs/>
          <w:lang w:val="en-US"/>
        </w:rPr>
        <w:t>Based Deep Learning for Wildfire Spread Prediction from Ensemble Simulations</w:t>
      </w:r>
      <w:r>
        <w:rPr>
          <w:lang w:val="en-US"/>
        </w:rPr>
        <w:t>”</w:t>
      </w:r>
    </w:p>
    <w:p w14:paraId="533AB17D" w14:textId="43C4A3C9" w:rsidR="00FE3416" w:rsidRDefault="00FE3416" w:rsidP="00FE3416">
      <w:pPr>
        <w:rPr>
          <w:lang w:val="en-US"/>
        </w:rPr>
      </w:pPr>
      <w:r w:rsidRPr="00FE3416">
        <w:rPr>
          <w:b/>
          <w:bCs/>
          <w:lang w:val="en-US"/>
        </w:rPr>
        <w:t>Abstract:</w:t>
      </w:r>
    </w:p>
    <w:p w14:paraId="2AF8B8A7" w14:textId="27F278FB" w:rsidR="00FE3416" w:rsidRDefault="003A36B3" w:rsidP="00FE3416">
      <w:pPr>
        <w:pBdr>
          <w:bottom w:val="single" w:sz="6" w:space="1" w:color="auto"/>
        </w:pBdr>
        <w:rPr>
          <w:lang w:val="en-US"/>
        </w:rPr>
      </w:pPr>
      <w:r w:rsidRPr="003A36B3">
        <w:rPr>
          <w:lang w:val="en-US"/>
        </w:rPr>
        <w:t>Wildfire risk assessment increasingly depends on large ensembles of high</w:t>
      </w:r>
      <w:r w:rsidRPr="003A36B3">
        <w:rPr>
          <w:rFonts w:ascii="Cambria Math" w:hAnsi="Cambria Math" w:cs="Cambria Math"/>
          <w:lang w:val="en-US"/>
        </w:rPr>
        <w:t>‑</w:t>
      </w:r>
      <w:r w:rsidRPr="003A36B3">
        <w:rPr>
          <w:lang w:val="en-US"/>
        </w:rPr>
        <w:t>resolution fire</w:t>
      </w:r>
      <w:r w:rsidRPr="003A36B3">
        <w:rPr>
          <w:rFonts w:ascii="Cambria Math" w:hAnsi="Cambria Math" w:cs="Cambria Math"/>
          <w:lang w:val="en-US"/>
        </w:rPr>
        <w:t>‑</w:t>
      </w:r>
      <w:r w:rsidRPr="003A36B3">
        <w:rPr>
          <w:lang w:val="en-US"/>
        </w:rPr>
        <w:t>spread simulations, generating spatial data volumes that strain both interpretation and operational forecasting. We present a data</w:t>
      </w:r>
      <w:r w:rsidRPr="003A36B3">
        <w:rPr>
          <w:rFonts w:ascii="Cambria Math" w:hAnsi="Cambria Math" w:cs="Cambria Math"/>
          <w:lang w:val="en-US"/>
        </w:rPr>
        <w:t>‑</w:t>
      </w:r>
      <w:r w:rsidRPr="003A36B3">
        <w:rPr>
          <w:lang w:val="en-US"/>
        </w:rPr>
        <w:t>intensive pipeline that couples exploratory geospatial analytics with deep learning to predict 30</w:t>
      </w:r>
      <w:r w:rsidRPr="003A36B3">
        <w:rPr>
          <w:rFonts w:ascii="Cambria Math" w:hAnsi="Cambria Math" w:cs="Cambria Math"/>
          <w:lang w:val="en-US"/>
        </w:rPr>
        <w:t>‑</w:t>
      </w:r>
      <w:r w:rsidRPr="003A36B3">
        <w:rPr>
          <w:lang w:val="en-US"/>
        </w:rPr>
        <w:t xml:space="preserve">minute evolution of wildfire fronts over the </w:t>
      </w:r>
      <w:proofErr w:type="spellStart"/>
      <w:r w:rsidRPr="003A36B3">
        <w:rPr>
          <w:lang w:val="en-US"/>
        </w:rPr>
        <w:t>Rectoret</w:t>
      </w:r>
      <w:proofErr w:type="spellEnd"/>
      <w:r w:rsidRPr="003A36B3">
        <w:rPr>
          <w:lang w:val="en-US"/>
        </w:rPr>
        <w:t xml:space="preserve"> area (Catalonia, Spain), using 2</w:t>
      </w:r>
      <w:r w:rsidRPr="003A36B3">
        <w:rPr>
          <w:rFonts w:ascii="Cambria Math" w:hAnsi="Cambria Math" w:cs="Cambria Math"/>
          <w:lang w:val="en-US"/>
        </w:rPr>
        <w:t>‑</w:t>
      </w:r>
      <w:r w:rsidRPr="003A36B3">
        <w:rPr>
          <w:lang w:val="en-US"/>
        </w:rPr>
        <w:t xml:space="preserve">m terrain </w:t>
      </w:r>
      <w:proofErr w:type="spellStart"/>
      <w:r w:rsidRPr="003A36B3">
        <w:rPr>
          <w:lang w:val="en-US"/>
        </w:rPr>
        <w:t>rasters</w:t>
      </w:r>
      <w:proofErr w:type="spellEnd"/>
      <w:r w:rsidRPr="003A36B3">
        <w:rPr>
          <w:lang w:val="en-US"/>
        </w:rPr>
        <w:t xml:space="preserve"> (slope, aspect, elevation, biomass, and multi</w:t>
      </w:r>
      <w:r w:rsidRPr="003A36B3">
        <w:rPr>
          <w:rFonts w:ascii="Cambria Math" w:hAnsi="Cambria Math" w:cs="Cambria Math"/>
          <w:lang w:val="en-US"/>
        </w:rPr>
        <w:t>‑</w:t>
      </w:r>
      <w:r w:rsidRPr="003A36B3">
        <w:rPr>
          <w:lang w:val="en-US"/>
        </w:rPr>
        <w:t>scale vegetation continuity (WUIX)) together with per</w:t>
      </w:r>
      <w:r w:rsidRPr="003A36B3">
        <w:rPr>
          <w:rFonts w:ascii="Cambria Math" w:hAnsi="Cambria Math" w:cs="Cambria Math"/>
          <w:lang w:val="en-US"/>
        </w:rPr>
        <w:t>‑</w:t>
      </w:r>
      <w:r w:rsidRPr="003A36B3">
        <w:rPr>
          <w:lang w:val="en-US"/>
        </w:rPr>
        <w:t>simulation wind conditions. A patch</w:t>
      </w:r>
      <w:r w:rsidRPr="003A36B3">
        <w:rPr>
          <w:rFonts w:ascii="Cambria Math" w:hAnsi="Cambria Math" w:cs="Cambria Math"/>
          <w:lang w:val="en-US"/>
        </w:rPr>
        <w:t>‑</w:t>
      </w:r>
      <w:r w:rsidRPr="003A36B3">
        <w:rPr>
          <w:lang w:val="en-US"/>
        </w:rPr>
        <w:t>based U</w:t>
      </w:r>
      <w:r w:rsidRPr="003A36B3">
        <w:rPr>
          <w:rFonts w:ascii="Cambria Math" w:hAnsi="Cambria Math" w:cs="Cambria Math"/>
          <w:lang w:val="en-US"/>
        </w:rPr>
        <w:t>‑</w:t>
      </w:r>
      <w:r w:rsidRPr="003A36B3">
        <w:rPr>
          <w:lang w:val="en-US"/>
        </w:rPr>
        <w:t xml:space="preserve">Net processes overlapping 128 </w:t>
      </w:r>
      <w:r w:rsidRPr="003A36B3">
        <w:rPr>
          <w:rFonts w:cs="Arial"/>
          <w:lang w:val="en-US"/>
        </w:rPr>
        <w:t>×</w:t>
      </w:r>
      <w:r w:rsidRPr="003A36B3">
        <w:rPr>
          <w:lang w:val="en-US"/>
        </w:rPr>
        <w:t xml:space="preserve"> 128 multichannel tiles, keeping memory and compute tractable on 1500 </w:t>
      </w:r>
      <w:r w:rsidRPr="003A36B3">
        <w:rPr>
          <w:rFonts w:cs="Arial"/>
          <w:lang w:val="en-US"/>
        </w:rPr>
        <w:t>×</w:t>
      </w:r>
      <w:r w:rsidRPr="003A36B3">
        <w:rPr>
          <w:lang w:val="en-US"/>
        </w:rPr>
        <w:t xml:space="preserve"> 1500 ensemble fields, and is extended to a spatially</w:t>
      </w:r>
      <w:r w:rsidRPr="003A36B3">
        <w:rPr>
          <w:rFonts w:ascii="Cambria Math" w:hAnsi="Cambria Math" w:cs="Cambria Math"/>
          <w:lang w:val="en-US"/>
        </w:rPr>
        <w:t>‑</w:t>
      </w:r>
      <w:r w:rsidRPr="003A36B3">
        <w:rPr>
          <w:lang w:val="en-US"/>
        </w:rPr>
        <w:t>aware variant that adds Euclidean distance</w:t>
      </w:r>
      <w:r w:rsidRPr="003A36B3">
        <w:rPr>
          <w:rFonts w:ascii="Cambria Math" w:hAnsi="Cambria Math" w:cs="Cambria Math"/>
          <w:lang w:val="en-US"/>
        </w:rPr>
        <w:t>‑</w:t>
      </w:r>
      <w:r w:rsidRPr="003A36B3">
        <w:rPr>
          <w:lang w:val="en-US"/>
        </w:rPr>
        <w:t>to</w:t>
      </w:r>
      <w:r w:rsidRPr="003A36B3">
        <w:rPr>
          <w:rFonts w:ascii="Cambria Math" w:hAnsi="Cambria Math" w:cs="Cambria Math"/>
          <w:lang w:val="en-US"/>
        </w:rPr>
        <w:t>‑</w:t>
      </w:r>
      <w:r w:rsidRPr="003A36B3">
        <w:rPr>
          <w:lang w:val="en-US"/>
        </w:rPr>
        <w:t xml:space="preserve">fire layers at the current step and 30 minutes prior, providing explicit context beyond patch boundaries. To turn predictions into actionable insight, we combine three attribution strategies </w:t>
      </w:r>
      <w:r w:rsidRPr="003A36B3">
        <w:rPr>
          <w:rFonts w:cs="Arial"/>
          <w:lang w:val="en-US"/>
        </w:rPr>
        <w:t>—</w:t>
      </w:r>
      <w:r w:rsidRPr="003A36B3">
        <w:rPr>
          <w:lang w:val="en-US"/>
        </w:rPr>
        <w:t xml:space="preserve"> gradient</w:t>
      </w:r>
      <w:r w:rsidRPr="003A36B3">
        <w:rPr>
          <w:rFonts w:ascii="Cambria Math" w:hAnsi="Cambria Math" w:cs="Cambria Math"/>
          <w:lang w:val="en-US"/>
        </w:rPr>
        <w:t>‑</w:t>
      </w:r>
      <w:r w:rsidRPr="003A36B3">
        <w:rPr>
          <w:lang w:val="en-US"/>
        </w:rPr>
        <w:t>based saliency, occlusion sensitivity, and a hex</w:t>
      </w:r>
      <w:r w:rsidRPr="003A36B3">
        <w:rPr>
          <w:rFonts w:ascii="Cambria Math" w:hAnsi="Cambria Math" w:cs="Cambria Math"/>
          <w:lang w:val="en-US"/>
        </w:rPr>
        <w:t>‑</w:t>
      </w:r>
      <w:r w:rsidRPr="003A36B3">
        <w:rPr>
          <w:lang w:val="en-US"/>
        </w:rPr>
        <w:t xml:space="preserve"> and fire</w:t>
      </w:r>
      <w:r w:rsidRPr="003A36B3">
        <w:rPr>
          <w:rFonts w:ascii="Cambria Math" w:hAnsi="Cambria Math" w:cs="Cambria Math"/>
          <w:lang w:val="en-US"/>
        </w:rPr>
        <w:t>‑</w:t>
      </w:r>
      <w:r w:rsidRPr="003A36B3">
        <w:rPr>
          <w:lang w:val="en-US"/>
        </w:rPr>
        <w:t>front perturbation analysis with physically consistent fuel</w:t>
      </w:r>
      <w:r w:rsidRPr="003A36B3">
        <w:rPr>
          <w:rFonts w:ascii="Cambria Math" w:hAnsi="Cambria Math" w:cs="Cambria Math"/>
          <w:lang w:val="en-US"/>
        </w:rPr>
        <w:t>‑</w:t>
      </w:r>
      <w:r w:rsidRPr="003A36B3">
        <w:rPr>
          <w:lang w:val="en-US"/>
        </w:rPr>
        <w:t xml:space="preserve">continuity propagation </w:t>
      </w:r>
      <w:r w:rsidRPr="003A36B3">
        <w:rPr>
          <w:rFonts w:cs="Arial"/>
          <w:lang w:val="en-US"/>
        </w:rPr>
        <w:t>—</w:t>
      </w:r>
      <w:r w:rsidRPr="003A36B3">
        <w:rPr>
          <w:lang w:val="en-US"/>
        </w:rPr>
        <w:t xml:space="preserve"> and identify vegetation continuity as the dominant local driver while fire stage governs global dynamics. Cross</w:t>
      </w:r>
      <w:r w:rsidRPr="003A36B3">
        <w:rPr>
          <w:rFonts w:ascii="Cambria Math" w:hAnsi="Cambria Math" w:cs="Cambria Math"/>
          <w:lang w:val="en-US"/>
        </w:rPr>
        <w:t>‑</w:t>
      </w:r>
      <w:r w:rsidRPr="003A36B3">
        <w:rPr>
          <w:lang w:val="en-US"/>
        </w:rPr>
        <w:t xml:space="preserve">region evaluation on the unseen </w:t>
      </w:r>
      <w:proofErr w:type="spellStart"/>
      <w:r w:rsidRPr="003A36B3">
        <w:rPr>
          <w:lang w:val="en-US"/>
        </w:rPr>
        <w:t>Pedriza</w:t>
      </w:r>
      <w:proofErr w:type="spellEnd"/>
      <w:r w:rsidRPr="003A36B3">
        <w:rPr>
          <w:lang w:val="en-US"/>
        </w:rPr>
        <w:t xml:space="preserve"> area, assessed via </w:t>
      </w:r>
      <w:proofErr w:type="gramStart"/>
      <w:r w:rsidRPr="003A36B3">
        <w:rPr>
          <w:lang w:val="en-US"/>
        </w:rPr>
        <w:t>Matthews</w:t>
      </w:r>
      <w:proofErr w:type="gramEnd"/>
      <w:r w:rsidRPr="003A36B3">
        <w:rPr>
          <w:lang w:val="en-US"/>
        </w:rPr>
        <w:t xml:space="preserve"> coefficient, Dice and boundary losses, confirms that the learned spread patterns generalize across terrains. The framework offers a scalable, interpretable surrogate for ensemble fire simulations, with direct value for risk mapping and fuel</w:t>
      </w:r>
      <w:r w:rsidRPr="003A36B3">
        <w:rPr>
          <w:rFonts w:ascii="Cambria Math" w:hAnsi="Cambria Math" w:cs="Cambria Math"/>
          <w:lang w:val="en-US"/>
        </w:rPr>
        <w:t>‑</w:t>
      </w:r>
      <w:r w:rsidRPr="003A36B3">
        <w:rPr>
          <w:lang w:val="en-US"/>
        </w:rPr>
        <w:t>management decisions.</w:t>
      </w:r>
    </w:p>
    <w:p w14:paraId="6BE0203E" w14:textId="77777777" w:rsidR="003A36B3" w:rsidRDefault="003A36B3" w:rsidP="00FE3416">
      <w:pPr>
        <w:pBdr>
          <w:bottom w:val="single" w:sz="6" w:space="1" w:color="auto"/>
        </w:pBdr>
        <w:rPr>
          <w:lang w:val="en-US"/>
        </w:rPr>
      </w:pPr>
    </w:p>
    <w:p w14:paraId="4AA8E0F9" w14:textId="77777777" w:rsidR="003A36B3" w:rsidRDefault="003A36B3" w:rsidP="00FE3416">
      <w:pPr>
        <w:pBdr>
          <w:bottom w:val="single" w:sz="6" w:space="1" w:color="auto"/>
        </w:pBdr>
        <w:rPr>
          <w:lang w:val="en-US"/>
        </w:rPr>
      </w:pPr>
    </w:p>
    <w:p w14:paraId="2B6BDCFF" w14:textId="77777777" w:rsidR="003A36B3" w:rsidRDefault="003A36B3" w:rsidP="00FE3416">
      <w:pPr>
        <w:rPr>
          <w:lang w:val="en-US"/>
        </w:rPr>
      </w:pPr>
    </w:p>
    <w:p w14:paraId="3B453731" w14:textId="77777777" w:rsidR="003A36B3" w:rsidRDefault="003A36B3" w:rsidP="00FE3416">
      <w:pPr>
        <w:rPr>
          <w:lang w:val="en-US"/>
        </w:rPr>
      </w:pPr>
    </w:p>
    <w:p w14:paraId="083661FD" w14:textId="77777777" w:rsidR="00FE3416" w:rsidRDefault="00FE3416" w:rsidP="00FE3416">
      <w:pPr>
        <w:rPr>
          <w:lang w:val="en-US"/>
        </w:rPr>
      </w:pPr>
      <w:r w:rsidRPr="003A36B3">
        <w:rPr>
          <w:b/>
          <w:bCs/>
          <w:lang w:val="en-US"/>
        </w:rPr>
        <w:t>162</w:t>
      </w:r>
      <w:r w:rsidRPr="00FE3416">
        <w:rPr>
          <w:lang w:val="en-US"/>
        </w:rPr>
        <w:tab/>
        <w:t>Zoltán Horváth and Mátyás Constans</w:t>
      </w:r>
      <w:r w:rsidRPr="00FE3416">
        <w:rPr>
          <w:lang w:val="en-US"/>
        </w:rPr>
        <w:tab/>
      </w:r>
    </w:p>
    <w:p w14:paraId="70D5C7A7" w14:textId="64C61746" w:rsidR="00FE3416" w:rsidRPr="00FE3416" w:rsidRDefault="00FE3416" w:rsidP="00FE3416">
      <w:pPr>
        <w:rPr>
          <w:lang w:val="en-US"/>
        </w:rPr>
      </w:pPr>
      <w:r>
        <w:rPr>
          <w:lang w:val="en-US"/>
        </w:rPr>
        <w:t>“</w:t>
      </w:r>
      <w:r w:rsidRPr="00FE3416">
        <w:rPr>
          <w:i/>
          <w:iCs/>
          <w:lang w:val="en-US"/>
        </w:rPr>
        <w:t>High-Resolution Urban Climate Modeling via HPC: Application to Poznań</w:t>
      </w:r>
      <w:r>
        <w:rPr>
          <w:lang w:val="en-US"/>
        </w:rPr>
        <w:t>”</w:t>
      </w:r>
    </w:p>
    <w:p w14:paraId="6155CF98" w14:textId="7FF97F2D" w:rsidR="00FE3416" w:rsidRDefault="00FE3416" w:rsidP="00FE3416">
      <w:pPr>
        <w:rPr>
          <w:lang w:val="en-US"/>
        </w:rPr>
      </w:pPr>
      <w:r w:rsidRPr="00FE3416">
        <w:rPr>
          <w:b/>
          <w:bCs/>
          <w:lang w:val="en-US"/>
        </w:rPr>
        <w:t>Abstract:</w:t>
      </w:r>
    </w:p>
    <w:p w14:paraId="60B7A31D" w14:textId="18D9CE50" w:rsidR="00FE3416" w:rsidRDefault="003A36B3" w:rsidP="00FE3416">
      <w:pPr>
        <w:pBdr>
          <w:bottom w:val="single" w:sz="6" w:space="1" w:color="auto"/>
        </w:pBdr>
        <w:rPr>
          <w:lang w:val="en-US"/>
        </w:rPr>
      </w:pPr>
      <w:r w:rsidRPr="003A36B3">
        <w:rPr>
          <w:lang w:val="en-US"/>
        </w:rPr>
        <w:t xml:space="preserve">Advanced urban climate modeling serves as a critical tool for urban decision-makers in mitigating the impacts of global environmental challenges. For instance, it provides predictive capabilities to assess how proposed spatial development plans will affect urban ventilation corridors and local microclimates. This presentation introduces an innovative computational framework developed by the HiDALGO2 SZE research group. By leveraging High-Performance Computing (HPC), our approach enables rapid, high-resolution simulations over spatial domains significantly larger than those feasible in conventional practice. Typically, a 6 km × 6 km domain is resolved at a 2-meter street-level scale faster than real-time. This performance is achieved utilizing our proprietary </w:t>
      </w:r>
      <w:proofErr w:type="spellStart"/>
      <w:r w:rsidRPr="003A36B3">
        <w:rPr>
          <w:lang w:val="en-US"/>
        </w:rPr>
        <w:lastRenderedPageBreak/>
        <w:t>RedSim</w:t>
      </w:r>
      <w:proofErr w:type="spellEnd"/>
      <w:r w:rsidRPr="003A36B3">
        <w:rPr>
          <w:lang w:val="en-US"/>
        </w:rPr>
        <w:t xml:space="preserve"> code paired with CFDR visualization, efficiently scaling across 10–20 compute nodes on a supercomputer. The simulation outputs are delivered to end-users and urban planners through an intuitive web-based interface, facilitating data-driven decision-making. Finally, to demonstrate the framework's efficacy, we present a case study applying this methodology to the city of Poznań, specifically analyzing the microclimatic implications of a selected large-scale urban development plan.</w:t>
      </w:r>
    </w:p>
    <w:p w14:paraId="26C25FEB" w14:textId="77777777" w:rsidR="003A36B3" w:rsidRDefault="003A36B3" w:rsidP="00FE3416">
      <w:pPr>
        <w:pBdr>
          <w:bottom w:val="single" w:sz="6" w:space="1" w:color="auto"/>
        </w:pBdr>
        <w:rPr>
          <w:lang w:val="en-US"/>
        </w:rPr>
      </w:pPr>
    </w:p>
    <w:p w14:paraId="5D781F8A" w14:textId="77777777" w:rsidR="003A36B3" w:rsidRDefault="003A36B3" w:rsidP="00FE3416">
      <w:pPr>
        <w:rPr>
          <w:lang w:val="en-US"/>
        </w:rPr>
      </w:pPr>
    </w:p>
    <w:p w14:paraId="596CE9E2" w14:textId="77777777" w:rsidR="00FE3416" w:rsidRDefault="00FE3416" w:rsidP="00FE3416">
      <w:pPr>
        <w:rPr>
          <w:lang w:val="en-US"/>
        </w:rPr>
      </w:pPr>
      <w:r w:rsidRPr="003A36B3">
        <w:rPr>
          <w:b/>
          <w:bCs/>
          <w:lang w:val="en-US"/>
        </w:rPr>
        <w:t>165</w:t>
      </w:r>
      <w:r w:rsidRPr="00FE3416">
        <w:rPr>
          <w:lang w:val="en-US"/>
        </w:rPr>
        <w:tab/>
        <w:t xml:space="preserve">Michal </w:t>
      </w:r>
      <w:proofErr w:type="spellStart"/>
      <w:r w:rsidRPr="00FE3416">
        <w:rPr>
          <w:lang w:val="en-US"/>
        </w:rPr>
        <w:t>Kulczewski</w:t>
      </w:r>
      <w:proofErr w:type="spellEnd"/>
      <w:r w:rsidRPr="00FE3416">
        <w:rPr>
          <w:lang w:val="en-US"/>
        </w:rPr>
        <w:tab/>
      </w:r>
    </w:p>
    <w:p w14:paraId="545950D2" w14:textId="0C41F551" w:rsidR="00FE3416" w:rsidRPr="00FE3416" w:rsidRDefault="00FE3416" w:rsidP="00FE3416">
      <w:pPr>
        <w:rPr>
          <w:lang w:val="en-US"/>
        </w:rPr>
      </w:pPr>
      <w:r>
        <w:rPr>
          <w:lang w:val="en-US"/>
        </w:rPr>
        <w:t>“</w:t>
      </w:r>
      <w:r w:rsidRPr="00FE3416">
        <w:rPr>
          <w:i/>
          <w:iCs/>
          <w:lang w:val="en-US"/>
        </w:rPr>
        <w:t xml:space="preserve">Scaling the EULAG solver for Grand </w:t>
      </w:r>
      <w:proofErr w:type="spellStart"/>
      <w:r w:rsidRPr="00FE3416">
        <w:rPr>
          <w:i/>
          <w:iCs/>
          <w:lang w:val="en-US"/>
        </w:rPr>
        <w:t>Challaneges</w:t>
      </w:r>
      <w:proofErr w:type="spellEnd"/>
      <w:r w:rsidRPr="00FE3416">
        <w:rPr>
          <w:i/>
          <w:iCs/>
          <w:lang w:val="en-US"/>
        </w:rPr>
        <w:t xml:space="preserve"> problems on </w:t>
      </w:r>
      <w:proofErr w:type="spellStart"/>
      <w:r w:rsidRPr="00FE3416">
        <w:rPr>
          <w:i/>
          <w:iCs/>
          <w:lang w:val="en-US"/>
        </w:rPr>
        <w:t>pestascale</w:t>
      </w:r>
      <w:proofErr w:type="spellEnd"/>
      <w:r w:rsidRPr="00FE3416">
        <w:rPr>
          <w:i/>
          <w:iCs/>
          <w:lang w:val="en-US"/>
        </w:rPr>
        <w:t xml:space="preserve"> machines</w:t>
      </w:r>
      <w:r>
        <w:rPr>
          <w:lang w:val="en-US"/>
        </w:rPr>
        <w:t>”</w:t>
      </w:r>
    </w:p>
    <w:p w14:paraId="7B0FF2FA" w14:textId="76BCDC5D" w:rsidR="00FE3416" w:rsidRDefault="00FE3416" w:rsidP="00FE3416">
      <w:pPr>
        <w:rPr>
          <w:lang w:val="en-US"/>
        </w:rPr>
      </w:pPr>
      <w:r w:rsidRPr="00FE3416">
        <w:rPr>
          <w:b/>
          <w:bCs/>
          <w:lang w:val="en-US"/>
        </w:rPr>
        <w:t>Abstract:</w:t>
      </w:r>
    </w:p>
    <w:p w14:paraId="4B1DB415" w14:textId="76311853" w:rsidR="00FE3416" w:rsidRDefault="003A36B3" w:rsidP="00FE3416">
      <w:pPr>
        <w:rPr>
          <w:lang w:val="en-US"/>
        </w:rPr>
      </w:pPr>
      <w:r w:rsidRPr="003A36B3">
        <w:rPr>
          <w:lang w:val="en-US"/>
        </w:rPr>
        <w:t xml:space="preserve">To meet the EU’s 42.5% renewable energy target by 2030, high-fidelity modelling is essential. This paper presents the </w:t>
      </w:r>
      <w:proofErr w:type="spellStart"/>
      <w:r w:rsidRPr="003A36B3">
        <w:rPr>
          <w:lang w:val="en-US"/>
        </w:rPr>
        <w:t>optimisation</w:t>
      </w:r>
      <w:proofErr w:type="spellEnd"/>
      <w:r w:rsidRPr="003A36B3">
        <w:rPr>
          <w:lang w:val="en-US"/>
        </w:rPr>
        <w:t xml:space="preserve"> of the EULAG geophysical flow solver, a core component of AQURES toolkit for solving Grand </w:t>
      </w:r>
      <w:proofErr w:type="spellStart"/>
      <w:r w:rsidRPr="003A36B3">
        <w:rPr>
          <w:lang w:val="en-US"/>
        </w:rPr>
        <w:t>Challanges</w:t>
      </w:r>
      <w:proofErr w:type="spellEnd"/>
      <w:r w:rsidRPr="003A36B3">
        <w:rPr>
          <w:lang w:val="en-US"/>
        </w:rPr>
        <w:t xml:space="preserve"> problems in the renewable energy sources domain. By providing 1–10m horizontal resolution, EULAG delivers critical detail for wind flow over complex terrain and densely populated cities, for the accurate wind mills and farms energy production forecast. Focus is given on the systematic adaptation of EULAG to modern architectures. Within the HiDALGO2 project, we demonstrate significant performance and scalability improvements on </w:t>
      </w:r>
      <w:proofErr w:type="spellStart"/>
      <w:r w:rsidRPr="003A36B3">
        <w:rPr>
          <w:lang w:val="en-US"/>
        </w:rPr>
        <w:t>petascale</w:t>
      </w:r>
      <w:proofErr w:type="spellEnd"/>
      <w:r w:rsidRPr="003A36B3">
        <w:rPr>
          <w:lang w:val="en-US"/>
        </w:rPr>
        <w:t xml:space="preserve"> systems. These advancements enable robust, large-scale simulations even for old style Fortran 77 based scientific codes suited for CPU runs only.</w:t>
      </w:r>
    </w:p>
    <w:p w14:paraId="0404B3A8" w14:textId="77777777" w:rsidR="00443EFE" w:rsidRDefault="00443EFE" w:rsidP="00FE3416">
      <w:pPr>
        <w:rPr>
          <w:lang w:val="en-US"/>
        </w:rPr>
      </w:pPr>
    </w:p>
    <w:p w14:paraId="6B19CD7F" w14:textId="77777777" w:rsidR="00FE3416" w:rsidRDefault="00FE3416" w:rsidP="00FE3416">
      <w:pPr>
        <w:pBdr>
          <w:bottom w:val="single" w:sz="6" w:space="1" w:color="auto"/>
        </w:pBdr>
        <w:rPr>
          <w:lang w:val="en-US"/>
        </w:rPr>
      </w:pPr>
    </w:p>
    <w:p w14:paraId="3B01AEE5" w14:textId="77777777" w:rsidR="00FE3416" w:rsidRDefault="00FE3416" w:rsidP="00FE3416">
      <w:pPr>
        <w:rPr>
          <w:lang w:val="en-US"/>
        </w:rPr>
      </w:pPr>
    </w:p>
    <w:p w14:paraId="5C692376" w14:textId="77777777" w:rsidR="00FE3416" w:rsidRPr="00FE3416" w:rsidRDefault="00FE3416" w:rsidP="00FE3416">
      <w:pPr>
        <w:rPr>
          <w:lang w:val="en-US"/>
        </w:rPr>
      </w:pPr>
    </w:p>
    <w:sectPr w:rsidR="00FE3416" w:rsidRPr="00FE34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614F"/>
    <w:multiLevelType w:val="multilevel"/>
    <w:tmpl w:val="B57E573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cs="Times New Roman" w:hint="default"/>
        <w:b/>
        <w:bCs w:val="0"/>
        <w:i w:val="0"/>
        <w:iCs w:val="0"/>
        <w:caps w:val="0"/>
        <w:smallCaps w:val="0"/>
        <w:strike w:val="0"/>
        <w:vanish w:val="0"/>
        <w:color w:val="3459B6"/>
        <w:spacing w:val="0"/>
        <w:position w:val="0"/>
        <w:u w:val="none"/>
        <w:vertAlign w:val="baseline"/>
        <w14:textOutline w14:w="0" w14:cap="rnd" w14:cmpd="sng" w14:algn="ctr">
          <w14:noFill/>
          <w14:prstDash w14:val="solid"/>
          <w14:bevel/>
        </w14:textOutline>
        <w14:ligatures w14:val="none"/>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B560D7B"/>
    <w:multiLevelType w:val="multilevel"/>
    <w:tmpl w:val="FC3E98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32C4EF5"/>
    <w:multiLevelType w:val="hybridMultilevel"/>
    <w:tmpl w:val="BADE5234"/>
    <w:lvl w:ilvl="0" w:tplc="F70E7574">
      <w:start w:val="1"/>
      <w:numFmt w:val="bullet"/>
      <w:pStyle w:val="Bullet1"/>
      <w:lvlText w:val=""/>
      <w:lvlJc w:val="left"/>
      <w:pPr>
        <w:ind w:left="720" w:hanging="360"/>
      </w:pPr>
      <w:rPr>
        <w:rFonts w:ascii="Symbol" w:hAnsi="Symbol" w:hint="default"/>
      </w:rPr>
    </w:lvl>
    <w:lvl w:ilvl="1" w:tplc="4638204C">
      <w:start w:val="1"/>
      <w:numFmt w:val="bullet"/>
      <w:pStyle w:val="Bullet2"/>
      <w:lvlText w:val="­"/>
      <w:lvlJc w:val="left"/>
      <w:pPr>
        <w:ind w:left="1440" w:hanging="360"/>
      </w:pPr>
      <w:rPr>
        <w:rFonts w:ascii="Times New Roman" w:hAnsi="Times New Roman" w:cs="Times New Roman" w:hint="default"/>
      </w:rPr>
    </w:lvl>
    <w:lvl w:ilvl="2" w:tplc="880CDE70">
      <w:start w:val="1"/>
      <w:numFmt w:val="bullet"/>
      <w:lvlText w:val=""/>
      <w:lvlJc w:val="left"/>
      <w:pPr>
        <w:ind w:left="2160" w:hanging="360"/>
      </w:pPr>
      <w:rPr>
        <w:rFonts w:ascii="Wingdings" w:hAnsi="Wingdings" w:hint="default"/>
      </w:rPr>
    </w:lvl>
    <w:lvl w:ilvl="3" w:tplc="271EEBEE">
      <w:start w:val="1"/>
      <w:numFmt w:val="bullet"/>
      <w:lvlText w:val=""/>
      <w:lvlJc w:val="left"/>
      <w:pPr>
        <w:ind w:left="2880" w:hanging="360"/>
      </w:pPr>
      <w:rPr>
        <w:rFonts w:ascii="Symbol" w:hAnsi="Symbol" w:hint="default"/>
      </w:rPr>
    </w:lvl>
    <w:lvl w:ilvl="4" w:tplc="A296ED94">
      <w:start w:val="1"/>
      <w:numFmt w:val="bullet"/>
      <w:lvlText w:val="o"/>
      <w:lvlJc w:val="left"/>
      <w:pPr>
        <w:ind w:left="3600" w:hanging="360"/>
      </w:pPr>
      <w:rPr>
        <w:rFonts w:ascii="Courier New" w:hAnsi="Courier New" w:cs="Courier New" w:hint="default"/>
      </w:rPr>
    </w:lvl>
    <w:lvl w:ilvl="5" w:tplc="F18C3ACE">
      <w:start w:val="1"/>
      <w:numFmt w:val="bullet"/>
      <w:lvlText w:val=""/>
      <w:lvlJc w:val="left"/>
      <w:pPr>
        <w:ind w:left="4320" w:hanging="360"/>
      </w:pPr>
      <w:rPr>
        <w:rFonts w:ascii="Wingdings" w:hAnsi="Wingdings" w:hint="default"/>
      </w:rPr>
    </w:lvl>
    <w:lvl w:ilvl="6" w:tplc="5BDEB16E">
      <w:start w:val="1"/>
      <w:numFmt w:val="bullet"/>
      <w:lvlText w:val=""/>
      <w:lvlJc w:val="left"/>
      <w:pPr>
        <w:ind w:left="5040" w:hanging="360"/>
      </w:pPr>
      <w:rPr>
        <w:rFonts w:ascii="Symbol" w:hAnsi="Symbol" w:hint="default"/>
      </w:rPr>
    </w:lvl>
    <w:lvl w:ilvl="7" w:tplc="5398717E">
      <w:start w:val="1"/>
      <w:numFmt w:val="bullet"/>
      <w:lvlText w:val="o"/>
      <w:lvlJc w:val="left"/>
      <w:pPr>
        <w:ind w:left="5760" w:hanging="360"/>
      </w:pPr>
      <w:rPr>
        <w:rFonts w:ascii="Courier New" w:hAnsi="Courier New" w:cs="Courier New" w:hint="default"/>
      </w:rPr>
    </w:lvl>
    <w:lvl w:ilvl="8" w:tplc="8D021CC4">
      <w:start w:val="1"/>
      <w:numFmt w:val="bullet"/>
      <w:lvlText w:val=""/>
      <w:lvlJc w:val="left"/>
      <w:pPr>
        <w:ind w:left="6480" w:hanging="360"/>
      </w:pPr>
      <w:rPr>
        <w:rFonts w:ascii="Wingdings" w:hAnsi="Wingdings" w:hint="default"/>
      </w:rPr>
    </w:lvl>
  </w:abstractNum>
  <w:abstractNum w:abstractNumId="3" w15:restartNumberingAfterBreak="0">
    <w:nsid w:val="51E87FB9"/>
    <w:multiLevelType w:val="multilevel"/>
    <w:tmpl w:val="72D25FB4"/>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num w:numId="1" w16cid:durableId="1449659893">
    <w:abstractNumId w:val="3"/>
  </w:num>
  <w:num w:numId="2" w16cid:durableId="1098411350">
    <w:abstractNumId w:val="1"/>
  </w:num>
  <w:num w:numId="3" w16cid:durableId="1039625691">
    <w:abstractNumId w:val="2"/>
  </w:num>
  <w:num w:numId="4" w16cid:durableId="407269876">
    <w:abstractNumId w:val="2"/>
  </w:num>
  <w:num w:numId="5" w16cid:durableId="559707029">
    <w:abstractNumId w:val="0"/>
  </w:num>
  <w:num w:numId="6" w16cid:durableId="1419865801">
    <w:abstractNumId w:val="0"/>
  </w:num>
  <w:num w:numId="7" w16cid:durableId="1564562228">
    <w:abstractNumId w:val="0"/>
  </w:num>
  <w:num w:numId="8" w16cid:durableId="1212305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416"/>
    <w:rsid w:val="00142154"/>
    <w:rsid w:val="0014766E"/>
    <w:rsid w:val="00192AEC"/>
    <w:rsid w:val="002577A5"/>
    <w:rsid w:val="002655F0"/>
    <w:rsid w:val="00334960"/>
    <w:rsid w:val="00360986"/>
    <w:rsid w:val="00364C23"/>
    <w:rsid w:val="0039618B"/>
    <w:rsid w:val="003A36B3"/>
    <w:rsid w:val="003A3BFC"/>
    <w:rsid w:val="00443EFE"/>
    <w:rsid w:val="00451248"/>
    <w:rsid w:val="0057296F"/>
    <w:rsid w:val="0065649F"/>
    <w:rsid w:val="006976E7"/>
    <w:rsid w:val="006E0FCD"/>
    <w:rsid w:val="00731DD5"/>
    <w:rsid w:val="007A269D"/>
    <w:rsid w:val="008D360D"/>
    <w:rsid w:val="00902015"/>
    <w:rsid w:val="00A26017"/>
    <w:rsid w:val="00B46B47"/>
    <w:rsid w:val="00B956A2"/>
    <w:rsid w:val="00C15174"/>
    <w:rsid w:val="00C2158D"/>
    <w:rsid w:val="00C26CD5"/>
    <w:rsid w:val="00C319F7"/>
    <w:rsid w:val="00C4331F"/>
    <w:rsid w:val="00C802DC"/>
    <w:rsid w:val="00CA001C"/>
    <w:rsid w:val="00CA050B"/>
    <w:rsid w:val="00CA6372"/>
    <w:rsid w:val="00CD4FF7"/>
    <w:rsid w:val="00DD766D"/>
    <w:rsid w:val="00EC76A9"/>
    <w:rsid w:val="00F20F76"/>
    <w:rsid w:val="00F81A61"/>
    <w:rsid w:val="00FE3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7D945"/>
  <w15:chartTrackingRefBased/>
  <w15:docId w15:val="{1EA0E9B9-2525-4121-B3DF-7196E6873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6A2"/>
    <w:pPr>
      <w:spacing w:before="60" w:after="60" w:line="276" w:lineRule="auto"/>
      <w:jc w:val="both"/>
    </w:pPr>
    <w:rPr>
      <w:rFonts w:ascii="Arial" w:hAnsi="Arial"/>
      <w:kern w:val="0"/>
      <w:sz w:val="24"/>
      <w:lang w:val="en-GB"/>
      <w14:ligatures w14:val="none"/>
    </w:rPr>
  </w:style>
  <w:style w:type="paragraph" w:styleId="Heading1">
    <w:name w:val="heading 1"/>
    <w:basedOn w:val="Normal"/>
    <w:next w:val="Normal"/>
    <w:link w:val="Heading1Char"/>
    <w:uiPriority w:val="9"/>
    <w:qFormat/>
    <w:rsid w:val="00B956A2"/>
    <w:pPr>
      <w:keepNext/>
      <w:keepLines/>
      <w:numPr>
        <w:numId w:val="8"/>
      </w:numPr>
      <w:pBdr>
        <w:bottom w:val="single" w:sz="4" w:space="1" w:color="0070C0"/>
      </w:pBdr>
      <w:spacing w:before="480" w:after="240" w:line="360" w:lineRule="auto"/>
      <w:outlineLvl w:val="0"/>
    </w:pPr>
    <w:rPr>
      <w:rFonts w:eastAsiaTheme="majorEastAsia" w:cs="Arial"/>
      <w:b/>
      <w:color w:val="3A5AA5"/>
      <w:sz w:val="28"/>
      <w:szCs w:val="24"/>
      <w:lang w:val="en-US"/>
    </w:rPr>
  </w:style>
  <w:style w:type="paragraph" w:styleId="Heading2">
    <w:name w:val="heading 2"/>
    <w:basedOn w:val="Heading1"/>
    <w:next w:val="Normal"/>
    <w:link w:val="Heading2Char"/>
    <w:unhideWhenUsed/>
    <w:qFormat/>
    <w:rsid w:val="00B956A2"/>
    <w:pPr>
      <w:numPr>
        <w:ilvl w:val="1"/>
      </w:numPr>
      <w:tabs>
        <w:tab w:val="left" w:pos="851"/>
      </w:tabs>
      <w:spacing w:before="240" w:line="288" w:lineRule="auto"/>
      <w:outlineLvl w:val="1"/>
    </w:pPr>
    <w:rPr>
      <w:sz w:val="24"/>
    </w:rPr>
  </w:style>
  <w:style w:type="paragraph" w:styleId="Heading3">
    <w:name w:val="heading 3"/>
    <w:basedOn w:val="Heading2"/>
    <w:next w:val="Normal"/>
    <w:link w:val="Heading3Char"/>
    <w:unhideWhenUsed/>
    <w:qFormat/>
    <w:rsid w:val="00B956A2"/>
    <w:pPr>
      <w:numPr>
        <w:ilvl w:val="2"/>
      </w:numPr>
      <w:pBdr>
        <w:bottom w:val="none" w:sz="0" w:space="0" w:color="000000"/>
      </w:pBdr>
      <w:outlineLvl w:val="2"/>
    </w:pPr>
    <w:rPr>
      <w:bCs/>
    </w:rPr>
  </w:style>
  <w:style w:type="paragraph" w:styleId="Heading4">
    <w:name w:val="heading 4"/>
    <w:basedOn w:val="Heading3"/>
    <w:next w:val="Normal"/>
    <w:link w:val="Heading4Char"/>
    <w:unhideWhenUsed/>
    <w:qFormat/>
    <w:rsid w:val="00B956A2"/>
    <w:pPr>
      <w:numPr>
        <w:ilvl w:val="3"/>
      </w:numPr>
      <w:outlineLvl w:val="3"/>
    </w:pPr>
    <w:rPr>
      <w:bCs w:val="0"/>
      <w:iCs/>
    </w:rPr>
  </w:style>
  <w:style w:type="paragraph" w:styleId="Heading5">
    <w:name w:val="heading 5"/>
    <w:basedOn w:val="Normal"/>
    <w:next w:val="Normal"/>
    <w:link w:val="Heading5Char"/>
    <w:uiPriority w:val="9"/>
    <w:semiHidden/>
    <w:unhideWhenUsed/>
    <w:qFormat/>
    <w:rsid w:val="00FE341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E341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341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3416"/>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3416"/>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B956A2"/>
    <w:rPr>
      <w:rFonts w:ascii="Arial" w:eastAsiaTheme="majorEastAsia" w:hAnsi="Arial" w:cs="Arial"/>
      <w:b/>
      <w:iCs/>
      <w:color w:val="3A5AA5"/>
      <w:kern w:val="0"/>
      <w:sz w:val="24"/>
      <w:szCs w:val="24"/>
    </w:rPr>
  </w:style>
  <w:style w:type="character" w:customStyle="1" w:styleId="Heading3Char">
    <w:name w:val="Heading 3 Char"/>
    <w:basedOn w:val="DefaultParagraphFont"/>
    <w:link w:val="Heading3"/>
    <w:rsid w:val="00B956A2"/>
    <w:rPr>
      <w:rFonts w:ascii="Arial" w:eastAsiaTheme="majorEastAsia" w:hAnsi="Arial" w:cs="Arial"/>
      <w:b/>
      <w:bCs/>
      <w:color w:val="3A5AA5"/>
      <w:kern w:val="0"/>
      <w:sz w:val="24"/>
      <w:szCs w:val="24"/>
    </w:rPr>
  </w:style>
  <w:style w:type="paragraph" w:customStyle="1" w:styleId="Bullet1">
    <w:name w:val="Bullet 1"/>
    <w:basedOn w:val="Normal"/>
    <w:link w:val="Bullet1Char"/>
    <w:qFormat/>
    <w:rsid w:val="00B956A2"/>
    <w:pPr>
      <w:numPr>
        <w:numId w:val="4"/>
      </w:numPr>
      <w:spacing w:before="40" w:after="40" w:line="240" w:lineRule="auto"/>
    </w:pPr>
    <w:rPr>
      <w:rFonts w:eastAsia="Times New Roman" w:cs="Times New Roman"/>
      <w:szCs w:val="24"/>
      <w:lang w:val="en-US"/>
    </w:rPr>
  </w:style>
  <w:style w:type="character" w:customStyle="1" w:styleId="Bullet1Char">
    <w:name w:val="Bullet 1 Char"/>
    <w:basedOn w:val="DefaultParagraphFont"/>
    <w:link w:val="Bullet1"/>
    <w:rsid w:val="00B956A2"/>
    <w:rPr>
      <w:rFonts w:ascii="Arial" w:eastAsia="Times New Roman" w:hAnsi="Arial" w:cs="Times New Roman"/>
      <w:kern w:val="0"/>
      <w:sz w:val="24"/>
      <w:szCs w:val="24"/>
    </w:rPr>
  </w:style>
  <w:style w:type="paragraph" w:customStyle="1" w:styleId="Bullet2">
    <w:name w:val="Bullet 2"/>
    <w:basedOn w:val="Bullet1"/>
    <w:link w:val="Bullet2Char"/>
    <w:qFormat/>
    <w:rsid w:val="00B956A2"/>
    <w:pPr>
      <w:numPr>
        <w:ilvl w:val="1"/>
      </w:numPr>
    </w:pPr>
    <w:rPr>
      <w:lang w:val="fr-FR"/>
    </w:rPr>
  </w:style>
  <w:style w:type="character" w:customStyle="1" w:styleId="Bullet2Char">
    <w:name w:val="Bullet 2 Char"/>
    <w:basedOn w:val="DefaultParagraphFont"/>
    <w:link w:val="Bullet2"/>
    <w:rsid w:val="00B956A2"/>
    <w:rPr>
      <w:rFonts w:ascii="Arial" w:eastAsia="Times New Roman" w:hAnsi="Arial" w:cs="Times New Roman"/>
      <w:kern w:val="0"/>
      <w:sz w:val="24"/>
      <w:szCs w:val="24"/>
      <w:lang w:val="fr-FR"/>
    </w:rPr>
  </w:style>
  <w:style w:type="paragraph" w:customStyle="1" w:styleId="Comment">
    <w:name w:val="Comment"/>
    <w:basedOn w:val="Normal"/>
    <w:link w:val="CommentChar"/>
    <w:qFormat/>
    <w:rsid w:val="00B956A2"/>
    <w:rPr>
      <w:sz w:val="20"/>
    </w:rPr>
  </w:style>
  <w:style w:type="character" w:customStyle="1" w:styleId="CommentChar">
    <w:name w:val="Comment Char"/>
    <w:basedOn w:val="DefaultParagraphFont"/>
    <w:link w:val="Comment"/>
    <w:rsid w:val="00B956A2"/>
    <w:rPr>
      <w:rFonts w:ascii="Arial" w:hAnsi="Arial"/>
      <w:kern w:val="0"/>
      <w:sz w:val="20"/>
      <w:lang w:val="en-GB"/>
    </w:rPr>
  </w:style>
  <w:style w:type="character" w:customStyle="1" w:styleId="Heading1Char">
    <w:name w:val="Heading 1 Char"/>
    <w:basedOn w:val="DefaultParagraphFont"/>
    <w:link w:val="Heading1"/>
    <w:uiPriority w:val="9"/>
    <w:rsid w:val="00B956A2"/>
    <w:rPr>
      <w:rFonts w:ascii="Arial" w:eastAsiaTheme="majorEastAsia" w:hAnsi="Arial" w:cs="Arial"/>
      <w:b/>
      <w:color w:val="3A5AA5"/>
      <w:kern w:val="0"/>
      <w:sz w:val="28"/>
      <w:szCs w:val="24"/>
    </w:rPr>
  </w:style>
  <w:style w:type="character" w:customStyle="1" w:styleId="Heading2Char">
    <w:name w:val="Heading 2 Char"/>
    <w:basedOn w:val="DefaultParagraphFont"/>
    <w:link w:val="Heading2"/>
    <w:rsid w:val="00B956A2"/>
    <w:rPr>
      <w:rFonts w:ascii="Arial" w:eastAsiaTheme="majorEastAsia" w:hAnsi="Arial" w:cs="Arial"/>
      <w:b/>
      <w:color w:val="3A5AA5"/>
      <w:kern w:val="0"/>
      <w:sz w:val="24"/>
      <w:szCs w:val="24"/>
    </w:rPr>
  </w:style>
  <w:style w:type="paragraph" w:customStyle="1" w:styleId="Tabletext">
    <w:name w:val="Table text"/>
    <w:basedOn w:val="Normal"/>
    <w:qFormat/>
    <w:rsid w:val="00B956A2"/>
    <w:pPr>
      <w:spacing w:after="40"/>
      <w:jc w:val="left"/>
    </w:pPr>
    <w:rPr>
      <w:rFonts w:cs="Arial"/>
      <w:sz w:val="22"/>
    </w:rPr>
  </w:style>
  <w:style w:type="paragraph" w:styleId="NoSpacing">
    <w:name w:val="No Spacing"/>
    <w:uiPriority w:val="1"/>
    <w:qFormat/>
    <w:rsid w:val="00B956A2"/>
    <w:pPr>
      <w:spacing w:after="0" w:line="240" w:lineRule="auto"/>
    </w:pPr>
    <w:rPr>
      <w:rFonts w:ascii="Calibri" w:hAnsi="Calibri"/>
      <w:kern w:val="0"/>
      <w:sz w:val="24"/>
      <w:lang w:val="fr-FR"/>
    </w:rPr>
  </w:style>
  <w:style w:type="paragraph" w:styleId="Title">
    <w:name w:val="Title"/>
    <w:basedOn w:val="Normal"/>
    <w:next w:val="Normal"/>
    <w:link w:val="TitleChar"/>
    <w:uiPriority w:val="10"/>
    <w:qFormat/>
    <w:rsid w:val="00B956A2"/>
    <w:pPr>
      <w:spacing w:after="300" w:line="240" w:lineRule="auto"/>
      <w:contextualSpacing/>
    </w:pPr>
    <w:rPr>
      <w:color w:val="3A5AA5"/>
      <w:spacing w:val="5"/>
      <w:sz w:val="44"/>
      <w:szCs w:val="52"/>
    </w:rPr>
  </w:style>
  <w:style w:type="character" w:customStyle="1" w:styleId="TitleChar">
    <w:name w:val="Title Char"/>
    <w:basedOn w:val="DefaultParagraphFont"/>
    <w:link w:val="Title"/>
    <w:uiPriority w:val="10"/>
    <w:rsid w:val="00B956A2"/>
    <w:rPr>
      <w:rFonts w:ascii="Arial" w:hAnsi="Arial"/>
      <w:color w:val="3A5AA5"/>
      <w:spacing w:val="5"/>
      <w:kern w:val="0"/>
      <w:sz w:val="44"/>
      <w:szCs w:val="52"/>
      <w:lang w:val="en-GB"/>
      <w14:ligatures w14:val="none"/>
    </w:rPr>
  </w:style>
  <w:style w:type="character" w:styleId="Emphasis">
    <w:name w:val="Emphasis"/>
    <w:basedOn w:val="DefaultParagraphFont"/>
    <w:uiPriority w:val="20"/>
    <w:qFormat/>
    <w:rsid w:val="00B956A2"/>
    <w:rPr>
      <w:i/>
      <w:iCs/>
      <w:color w:val="3A5AA5"/>
    </w:rPr>
  </w:style>
  <w:style w:type="character" w:styleId="Strong">
    <w:name w:val="Strong"/>
    <w:basedOn w:val="DefaultParagraphFont"/>
    <w:uiPriority w:val="22"/>
    <w:qFormat/>
    <w:rsid w:val="00B956A2"/>
    <w:rPr>
      <w:rFonts w:asciiTheme="minorHAnsi" w:hAnsiTheme="minorHAnsi"/>
      <w:b/>
      <w:bCs/>
      <w:color w:val="3A5AA5"/>
      <w:sz w:val="24"/>
    </w:rPr>
  </w:style>
  <w:style w:type="paragraph" w:styleId="Caption">
    <w:name w:val="caption"/>
    <w:basedOn w:val="Normal"/>
    <w:next w:val="Normal"/>
    <w:uiPriority w:val="35"/>
    <w:unhideWhenUsed/>
    <w:qFormat/>
    <w:rsid w:val="00B956A2"/>
    <w:pPr>
      <w:spacing w:before="0" w:after="200" w:line="240" w:lineRule="auto"/>
      <w:jc w:val="center"/>
    </w:pPr>
    <w:rPr>
      <w:b/>
      <w:bCs/>
      <w:color w:val="3A5AA5"/>
      <w:sz w:val="20"/>
      <w:szCs w:val="18"/>
    </w:rPr>
  </w:style>
  <w:style w:type="character" w:customStyle="1" w:styleId="Heading5Char">
    <w:name w:val="Heading 5 Char"/>
    <w:basedOn w:val="DefaultParagraphFont"/>
    <w:link w:val="Heading5"/>
    <w:uiPriority w:val="9"/>
    <w:semiHidden/>
    <w:rsid w:val="00FE3416"/>
    <w:rPr>
      <w:rFonts w:eastAsiaTheme="majorEastAsia" w:cstheme="majorBidi"/>
      <w:color w:val="2F5496" w:themeColor="accent1" w:themeShade="BF"/>
      <w:kern w:val="0"/>
      <w:sz w:val="24"/>
      <w:lang w:val="en-GB"/>
      <w14:ligatures w14:val="none"/>
    </w:rPr>
  </w:style>
  <w:style w:type="character" w:customStyle="1" w:styleId="Heading6Char">
    <w:name w:val="Heading 6 Char"/>
    <w:basedOn w:val="DefaultParagraphFont"/>
    <w:link w:val="Heading6"/>
    <w:uiPriority w:val="9"/>
    <w:semiHidden/>
    <w:rsid w:val="00FE3416"/>
    <w:rPr>
      <w:rFonts w:eastAsiaTheme="majorEastAsia" w:cstheme="majorBidi"/>
      <w:i/>
      <w:iCs/>
      <w:color w:val="595959" w:themeColor="text1" w:themeTint="A6"/>
      <w:kern w:val="0"/>
      <w:sz w:val="24"/>
      <w:lang w:val="en-GB"/>
      <w14:ligatures w14:val="none"/>
    </w:rPr>
  </w:style>
  <w:style w:type="character" w:customStyle="1" w:styleId="Heading7Char">
    <w:name w:val="Heading 7 Char"/>
    <w:basedOn w:val="DefaultParagraphFont"/>
    <w:link w:val="Heading7"/>
    <w:uiPriority w:val="9"/>
    <w:semiHidden/>
    <w:rsid w:val="00FE3416"/>
    <w:rPr>
      <w:rFonts w:eastAsiaTheme="majorEastAsia" w:cstheme="majorBidi"/>
      <w:color w:val="595959" w:themeColor="text1" w:themeTint="A6"/>
      <w:kern w:val="0"/>
      <w:sz w:val="24"/>
      <w:lang w:val="en-GB"/>
      <w14:ligatures w14:val="none"/>
    </w:rPr>
  </w:style>
  <w:style w:type="character" w:customStyle="1" w:styleId="Heading8Char">
    <w:name w:val="Heading 8 Char"/>
    <w:basedOn w:val="DefaultParagraphFont"/>
    <w:link w:val="Heading8"/>
    <w:uiPriority w:val="9"/>
    <w:semiHidden/>
    <w:rsid w:val="00FE3416"/>
    <w:rPr>
      <w:rFonts w:eastAsiaTheme="majorEastAsia" w:cstheme="majorBidi"/>
      <w:i/>
      <w:iCs/>
      <w:color w:val="272727" w:themeColor="text1" w:themeTint="D8"/>
      <w:kern w:val="0"/>
      <w:sz w:val="24"/>
      <w:lang w:val="en-GB"/>
      <w14:ligatures w14:val="none"/>
    </w:rPr>
  </w:style>
  <w:style w:type="character" w:customStyle="1" w:styleId="Heading9Char">
    <w:name w:val="Heading 9 Char"/>
    <w:basedOn w:val="DefaultParagraphFont"/>
    <w:link w:val="Heading9"/>
    <w:uiPriority w:val="9"/>
    <w:semiHidden/>
    <w:rsid w:val="00FE3416"/>
    <w:rPr>
      <w:rFonts w:eastAsiaTheme="majorEastAsia" w:cstheme="majorBidi"/>
      <w:color w:val="272727" w:themeColor="text1" w:themeTint="D8"/>
      <w:kern w:val="0"/>
      <w:sz w:val="24"/>
      <w:lang w:val="en-GB"/>
      <w14:ligatures w14:val="none"/>
    </w:rPr>
  </w:style>
  <w:style w:type="paragraph" w:styleId="Subtitle">
    <w:name w:val="Subtitle"/>
    <w:basedOn w:val="Normal"/>
    <w:next w:val="Normal"/>
    <w:link w:val="SubtitleChar"/>
    <w:uiPriority w:val="11"/>
    <w:qFormat/>
    <w:rsid w:val="00FE341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3416"/>
    <w:rPr>
      <w:rFonts w:eastAsiaTheme="majorEastAsia" w:cstheme="majorBidi"/>
      <w:color w:val="595959" w:themeColor="text1" w:themeTint="A6"/>
      <w:spacing w:val="15"/>
      <w:kern w:val="0"/>
      <w:sz w:val="28"/>
      <w:szCs w:val="28"/>
      <w:lang w:val="en-GB"/>
      <w14:ligatures w14:val="none"/>
    </w:rPr>
  </w:style>
  <w:style w:type="paragraph" w:styleId="Quote">
    <w:name w:val="Quote"/>
    <w:basedOn w:val="Normal"/>
    <w:next w:val="Normal"/>
    <w:link w:val="QuoteChar"/>
    <w:uiPriority w:val="29"/>
    <w:qFormat/>
    <w:rsid w:val="00FE341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3416"/>
    <w:rPr>
      <w:rFonts w:ascii="Arial" w:hAnsi="Arial"/>
      <w:i/>
      <w:iCs/>
      <w:color w:val="404040" w:themeColor="text1" w:themeTint="BF"/>
      <w:kern w:val="0"/>
      <w:sz w:val="24"/>
      <w:lang w:val="en-GB"/>
      <w14:ligatures w14:val="none"/>
    </w:rPr>
  </w:style>
  <w:style w:type="paragraph" w:styleId="ListParagraph">
    <w:name w:val="List Paragraph"/>
    <w:basedOn w:val="Normal"/>
    <w:uiPriority w:val="34"/>
    <w:qFormat/>
    <w:rsid w:val="00FE3416"/>
    <w:pPr>
      <w:ind w:left="720"/>
      <w:contextualSpacing/>
    </w:pPr>
  </w:style>
  <w:style w:type="character" w:styleId="IntenseEmphasis">
    <w:name w:val="Intense Emphasis"/>
    <w:basedOn w:val="DefaultParagraphFont"/>
    <w:uiPriority w:val="21"/>
    <w:qFormat/>
    <w:rsid w:val="00FE3416"/>
    <w:rPr>
      <w:i/>
      <w:iCs/>
      <w:color w:val="2F5496" w:themeColor="accent1" w:themeShade="BF"/>
    </w:rPr>
  </w:style>
  <w:style w:type="paragraph" w:styleId="IntenseQuote">
    <w:name w:val="Intense Quote"/>
    <w:basedOn w:val="Normal"/>
    <w:next w:val="Normal"/>
    <w:link w:val="IntenseQuoteChar"/>
    <w:uiPriority w:val="30"/>
    <w:qFormat/>
    <w:rsid w:val="00FE34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3416"/>
    <w:rPr>
      <w:rFonts w:ascii="Arial" w:hAnsi="Arial"/>
      <w:i/>
      <w:iCs/>
      <w:color w:val="2F5496" w:themeColor="accent1" w:themeShade="BF"/>
      <w:kern w:val="0"/>
      <w:sz w:val="24"/>
      <w:lang w:val="en-GB"/>
      <w14:ligatures w14:val="none"/>
    </w:rPr>
  </w:style>
  <w:style w:type="character" w:styleId="IntenseReference">
    <w:name w:val="Intense Reference"/>
    <w:basedOn w:val="DefaultParagraphFont"/>
    <w:uiPriority w:val="32"/>
    <w:qFormat/>
    <w:rsid w:val="00FE341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2113</Words>
  <Characters>12050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PCSS</Company>
  <LinksUpToDate>false</LinksUpToDate>
  <CharactersWithSpaces>14135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Lawenda</dc:creator>
  <cp:keywords/>
  <dc:description/>
  <cp:lastModifiedBy>Marcin Lawenda</cp:lastModifiedBy>
  <cp:revision>3</cp:revision>
  <dcterms:created xsi:type="dcterms:W3CDTF">2026-07-28T14:12:00Z</dcterms:created>
  <dcterms:modified xsi:type="dcterms:W3CDTF">2026-07-28T14:14:00Z</dcterms:modified>
</cp:coreProperties>
</file>